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F5CC" w14:textId="78CCF2C8" w:rsidR="000C389C" w:rsidRDefault="00D244D0" w:rsidP="000C389C">
      <w:pPr>
        <w:pStyle w:val="Title"/>
        <w:spacing w:after="0"/>
      </w:pPr>
      <w:bookmarkStart w:id="0" w:name="_Hlk160894790"/>
      <w:bookmarkEnd w:id="0"/>
      <w:r>
        <w:t xml:space="preserve">TITLE OF </w:t>
      </w:r>
      <w:r w:rsidR="006D07DB">
        <w:t>EXTENDED ABSTRACT</w:t>
      </w:r>
      <w:r>
        <w:t xml:space="preserve"> </w:t>
      </w:r>
    </w:p>
    <w:p w14:paraId="20BE436B" w14:textId="2238F3BE" w:rsidR="007728B7" w:rsidRPr="000C389C" w:rsidRDefault="009922EE" w:rsidP="009922EE">
      <w:pPr>
        <w:pStyle w:val="Title"/>
        <w:spacing w:before="0" w:after="0"/>
        <w:jc w:val="both"/>
        <w:rPr>
          <w:b w:val="0"/>
          <w:sz w:val="22"/>
          <w:szCs w:val="22"/>
        </w:rPr>
      </w:pPr>
      <w:r w:rsidRPr="009922EE">
        <w:rPr>
          <w:b w:val="0"/>
          <w:sz w:val="22"/>
          <w:szCs w:val="22"/>
        </w:rPr>
        <w:t xml:space="preserve">Efficiently articulate the subject matter of the </w:t>
      </w:r>
      <w:r w:rsidR="003C6B5E">
        <w:rPr>
          <w:b w:val="0"/>
          <w:sz w:val="22"/>
          <w:szCs w:val="22"/>
        </w:rPr>
        <w:t>extended abstract</w:t>
      </w:r>
      <w:r w:rsidRPr="009922EE">
        <w:rPr>
          <w:b w:val="0"/>
          <w:sz w:val="22"/>
          <w:szCs w:val="22"/>
        </w:rPr>
        <w:t xml:space="preserve"> within a maximum limit of 250 characters, incorporating the </w:t>
      </w:r>
      <w:r w:rsidR="001336F5">
        <w:rPr>
          <w:b w:val="0"/>
          <w:sz w:val="22"/>
          <w:szCs w:val="22"/>
        </w:rPr>
        <w:t>extended abstract</w:t>
      </w:r>
      <w:r w:rsidRPr="009922EE">
        <w:rPr>
          <w:b w:val="0"/>
          <w:sz w:val="22"/>
          <w:szCs w:val="22"/>
        </w:rPr>
        <w:t xml:space="preserve"> title in 12-point boldface uppercase Time New Roman font. Align the title with the previously accepted abstract for consistency</w:t>
      </w:r>
      <w:r>
        <w:rPr>
          <w:b w:val="0"/>
          <w:sz w:val="22"/>
          <w:szCs w:val="22"/>
        </w:rPr>
        <w:t>.</w:t>
      </w:r>
    </w:p>
    <w:p w14:paraId="7C8B3985" w14:textId="77777777" w:rsidR="00FA0999" w:rsidRDefault="00FA0999" w:rsidP="0083537E">
      <w:pPr>
        <w:pStyle w:val="Subtitle"/>
      </w:pPr>
    </w:p>
    <w:p w14:paraId="7487C333" w14:textId="77777777" w:rsidR="00FA0999" w:rsidRDefault="00FA0999" w:rsidP="009922EE">
      <w:pPr>
        <w:pStyle w:val="Subtitle"/>
        <w:jc w:val="left"/>
      </w:pPr>
    </w:p>
    <w:p w14:paraId="3E2D35D0" w14:textId="3523D18B" w:rsidR="000340C1" w:rsidRPr="0083537E" w:rsidRDefault="009E13FA" w:rsidP="009922EE">
      <w:pPr>
        <w:pStyle w:val="Subtitle"/>
        <w:jc w:val="left"/>
      </w:pPr>
      <w:r w:rsidRPr="0083537E">
        <w:t>name surname</w:t>
      </w:r>
      <w:r w:rsidR="0083537E" w:rsidRPr="0083537E">
        <w:t xml:space="preserve"> </w:t>
      </w:r>
      <w:r w:rsidR="0083537E" w:rsidRPr="0083537E">
        <w:rPr>
          <w:vertAlign w:val="superscript"/>
        </w:rPr>
        <w:t>1</w:t>
      </w:r>
      <w:r w:rsidR="000340C1" w:rsidRPr="0083537E">
        <w:t xml:space="preserve">, </w:t>
      </w:r>
      <w:r w:rsidRPr="0083537E">
        <w:t xml:space="preserve">name surname </w:t>
      </w:r>
      <w:r w:rsidRPr="0083537E">
        <w:rPr>
          <w:vertAlign w:val="superscript"/>
        </w:rPr>
        <w:t>2</w:t>
      </w:r>
      <w:r w:rsidR="00947EB6" w:rsidRPr="0083537E">
        <w:t xml:space="preserve">, </w:t>
      </w:r>
      <w:r w:rsidR="009922EE" w:rsidRPr="0083537E">
        <w:t xml:space="preserve">name surname </w:t>
      </w:r>
      <w:r w:rsidR="009922EE">
        <w:rPr>
          <w:vertAlign w:val="superscript"/>
        </w:rPr>
        <w:t>3</w:t>
      </w:r>
      <w:r w:rsidR="00947EB6" w:rsidRPr="0083537E">
        <w:t>…</w:t>
      </w:r>
    </w:p>
    <w:p w14:paraId="67765383" w14:textId="77777777" w:rsidR="009E13FA" w:rsidRPr="0083537E" w:rsidRDefault="0083537E" w:rsidP="009922EE">
      <w:pPr>
        <w:spacing w:before="120" w:after="60"/>
        <w:jc w:val="left"/>
        <w:rPr>
          <w:rStyle w:val="Emphasis"/>
        </w:rPr>
      </w:pPr>
      <w:r w:rsidRPr="0083537E">
        <w:rPr>
          <w:rStyle w:val="Emphasis"/>
          <w:vertAlign w:val="superscript"/>
        </w:rPr>
        <w:t>1</w:t>
      </w:r>
      <w:r w:rsidR="00947EB6" w:rsidRPr="0083537E">
        <w:rPr>
          <w:rStyle w:val="Emphasis"/>
        </w:rPr>
        <w:t xml:space="preserve"> Affiliation Institution, Country,</w:t>
      </w:r>
      <w:r w:rsidR="009E13FA" w:rsidRPr="0083537E">
        <w:rPr>
          <w:rStyle w:val="Emphasis"/>
        </w:rPr>
        <w:t xml:space="preserve"> E-mail</w:t>
      </w:r>
    </w:p>
    <w:p w14:paraId="416EB875" w14:textId="6E2A772F" w:rsidR="009E13FA" w:rsidRDefault="0083537E" w:rsidP="009922EE">
      <w:pPr>
        <w:spacing w:before="120" w:after="60"/>
        <w:jc w:val="left"/>
        <w:rPr>
          <w:rStyle w:val="Emphasis"/>
        </w:rPr>
      </w:pPr>
      <w:r w:rsidRPr="0083537E">
        <w:rPr>
          <w:rStyle w:val="Emphasis"/>
          <w:vertAlign w:val="superscript"/>
        </w:rPr>
        <w:t>2</w:t>
      </w:r>
      <w:r w:rsidR="009E13FA" w:rsidRPr="0083537E">
        <w:rPr>
          <w:rStyle w:val="Emphasis"/>
        </w:rPr>
        <w:t xml:space="preserve"> </w:t>
      </w:r>
      <w:r w:rsidR="00947EB6" w:rsidRPr="0083537E">
        <w:rPr>
          <w:rStyle w:val="Emphasis"/>
        </w:rPr>
        <w:t>Affiliation Institution, Country,</w:t>
      </w:r>
      <w:r w:rsidR="009E13FA" w:rsidRPr="0083537E">
        <w:rPr>
          <w:rStyle w:val="Emphasis"/>
        </w:rPr>
        <w:t xml:space="preserve"> E-mail</w:t>
      </w:r>
    </w:p>
    <w:p w14:paraId="0C92EAC9" w14:textId="683ADC57" w:rsidR="006764C6" w:rsidRPr="0083537E" w:rsidRDefault="009922EE" w:rsidP="009922EE">
      <w:pPr>
        <w:spacing w:before="120" w:after="60"/>
        <w:jc w:val="left"/>
        <w:rPr>
          <w:rStyle w:val="Emphasis"/>
        </w:rPr>
      </w:pPr>
      <w:r w:rsidRPr="0083537E">
        <w:rPr>
          <w:rStyle w:val="Emphasis"/>
          <w:vertAlign w:val="superscript"/>
        </w:rPr>
        <w:t>2</w:t>
      </w:r>
      <w:r w:rsidRPr="0083537E">
        <w:rPr>
          <w:rStyle w:val="Emphasis"/>
        </w:rPr>
        <w:t xml:space="preserve"> Affiliation Institution, Country, E-mail</w:t>
      </w:r>
    </w:p>
    <w:p w14:paraId="6E2B4214" w14:textId="688B0709" w:rsidR="006764C6" w:rsidRPr="000C389C" w:rsidRDefault="000C389C" w:rsidP="009922EE">
      <w:pPr>
        <w:spacing w:before="120" w:after="60"/>
        <w:jc w:val="left"/>
        <w:rPr>
          <w:rStyle w:val="Emphasis"/>
          <w:i w:val="0"/>
        </w:rPr>
      </w:pPr>
      <w:r w:rsidRPr="000C389C">
        <w:rPr>
          <w:rStyle w:val="Emphasis"/>
          <w:i w:val="0"/>
        </w:rPr>
        <w:t>(Authors’ names are set in 10 pt and in upper case. Affiliations are in 9 pt italics.)</w:t>
      </w:r>
    </w:p>
    <w:p w14:paraId="29997044" w14:textId="17586A93" w:rsidR="00FA0999" w:rsidRDefault="00FA0999" w:rsidP="00FA0999">
      <w:pPr>
        <w:pStyle w:val="Heading1"/>
        <w:spacing w:before="0" w:after="0"/>
        <w:ind w:left="709" w:right="709" w:firstLine="0"/>
      </w:pPr>
    </w:p>
    <w:p w14:paraId="35FD445F" w14:textId="77777777" w:rsidR="00FA0999" w:rsidRPr="00FA0999" w:rsidRDefault="00FA0999" w:rsidP="00FA0999">
      <w:pPr>
        <w:rPr>
          <w:lang w:val="en-GB"/>
        </w:rPr>
      </w:pPr>
    </w:p>
    <w:p w14:paraId="40FFE329" w14:textId="4DA73743" w:rsidR="000C389C" w:rsidRPr="001D1440" w:rsidRDefault="000C389C" w:rsidP="00EB0A46">
      <w:pPr>
        <w:spacing w:line="259" w:lineRule="auto"/>
        <w:ind w:left="425" w:hanging="425"/>
        <w:rPr>
          <w:b/>
          <w:szCs w:val="22"/>
          <w:lang w:val="en-AU"/>
        </w:rPr>
      </w:pPr>
      <w:r w:rsidRPr="001D1440">
        <w:rPr>
          <w:b/>
          <w:szCs w:val="22"/>
          <w:lang w:val="en-AU"/>
        </w:rPr>
        <w:t>Introduction</w:t>
      </w:r>
      <w:r w:rsidR="00FA0999" w:rsidRPr="001D1440">
        <w:rPr>
          <w:b/>
          <w:szCs w:val="22"/>
          <w:lang w:val="en-AU"/>
        </w:rPr>
        <w:t xml:space="preserve"> </w:t>
      </w:r>
    </w:p>
    <w:p w14:paraId="70AD594F" w14:textId="29DD61F4" w:rsidR="00781E7E" w:rsidRPr="00781E7E" w:rsidRDefault="00781E7E" w:rsidP="00781E7E">
      <w:pPr>
        <w:pStyle w:val="Default"/>
        <w:jc w:val="both"/>
        <w:rPr>
          <w:sz w:val="22"/>
          <w:szCs w:val="22"/>
          <w:lang w:val="en-GB"/>
        </w:rPr>
      </w:pPr>
      <w:r w:rsidRPr="00781E7E">
        <w:rPr>
          <w:sz w:val="22"/>
          <w:szCs w:val="22"/>
          <w:lang w:val="en-GB"/>
        </w:rPr>
        <w:t xml:space="preserve">To enhance the overall clarity of the </w:t>
      </w:r>
      <w:r w:rsidR="001336F5">
        <w:rPr>
          <w:sz w:val="22"/>
          <w:szCs w:val="22"/>
          <w:lang w:val="en-GB"/>
        </w:rPr>
        <w:t>extended abstract</w:t>
      </w:r>
      <w:r w:rsidRPr="00781E7E">
        <w:rPr>
          <w:sz w:val="22"/>
          <w:szCs w:val="22"/>
          <w:lang w:val="en-GB"/>
        </w:rPr>
        <w:t xml:space="preserve"> adhere to the following chapter structure: Introduction, Methods, Results</w:t>
      </w:r>
      <w:r>
        <w:rPr>
          <w:sz w:val="22"/>
          <w:szCs w:val="22"/>
          <w:lang w:val="en-GB"/>
        </w:rPr>
        <w:t xml:space="preserve"> </w:t>
      </w:r>
      <w:r w:rsidRPr="00781E7E">
        <w:rPr>
          <w:sz w:val="22"/>
          <w:szCs w:val="22"/>
          <w:lang w:val="en-GB"/>
        </w:rPr>
        <w:t xml:space="preserve"> and Conclusion, as explicitly detailed in the subsequent text. </w:t>
      </w:r>
      <w:r w:rsidR="003C6B5E">
        <w:rPr>
          <w:sz w:val="22"/>
          <w:szCs w:val="22"/>
          <w:lang w:val="en-GB"/>
        </w:rPr>
        <w:t>L</w:t>
      </w:r>
      <w:r w:rsidRPr="00781E7E">
        <w:rPr>
          <w:sz w:val="22"/>
          <w:szCs w:val="22"/>
          <w:lang w:val="en-GB"/>
        </w:rPr>
        <w:t xml:space="preserve">ower-level headings </w:t>
      </w:r>
      <w:r w:rsidR="003C6B5E">
        <w:rPr>
          <w:sz w:val="22"/>
          <w:szCs w:val="22"/>
          <w:lang w:val="en-GB"/>
        </w:rPr>
        <w:t>should not</w:t>
      </w:r>
      <w:r w:rsidRPr="00781E7E">
        <w:rPr>
          <w:sz w:val="22"/>
          <w:szCs w:val="22"/>
          <w:lang w:val="en-GB"/>
        </w:rPr>
        <w:t xml:space="preserve"> be employed.</w:t>
      </w:r>
      <w:r w:rsidR="00141806">
        <w:rPr>
          <w:sz w:val="22"/>
          <w:szCs w:val="22"/>
          <w:lang w:val="en-GB"/>
        </w:rPr>
        <w:t xml:space="preserve"> </w:t>
      </w:r>
      <w:r w:rsidRPr="00781E7E">
        <w:rPr>
          <w:b/>
          <w:bCs/>
          <w:sz w:val="22"/>
          <w:szCs w:val="22"/>
          <w:lang w:val="en-GB"/>
        </w:rPr>
        <w:t xml:space="preserve">The </w:t>
      </w:r>
      <w:r w:rsidR="003C6B5E">
        <w:rPr>
          <w:b/>
          <w:bCs/>
          <w:sz w:val="22"/>
          <w:szCs w:val="22"/>
          <w:lang w:val="en-GB"/>
        </w:rPr>
        <w:t>extended abstract</w:t>
      </w:r>
      <w:r w:rsidRPr="00781E7E">
        <w:rPr>
          <w:b/>
          <w:bCs/>
          <w:sz w:val="22"/>
          <w:szCs w:val="22"/>
          <w:lang w:val="en-GB"/>
        </w:rPr>
        <w:t xml:space="preserve"> must not exceed </w:t>
      </w:r>
      <w:r w:rsidR="00EB0A46">
        <w:rPr>
          <w:b/>
          <w:bCs/>
          <w:sz w:val="22"/>
          <w:szCs w:val="22"/>
          <w:lang w:val="en-GB"/>
        </w:rPr>
        <w:t>2</w:t>
      </w:r>
      <w:r w:rsidRPr="00781E7E">
        <w:rPr>
          <w:b/>
          <w:bCs/>
          <w:sz w:val="22"/>
          <w:szCs w:val="22"/>
          <w:lang w:val="en-GB"/>
        </w:rPr>
        <w:t xml:space="preserve"> pages</w:t>
      </w:r>
      <w:r w:rsidRPr="00781E7E">
        <w:rPr>
          <w:sz w:val="22"/>
          <w:szCs w:val="22"/>
          <w:lang w:val="en-GB"/>
        </w:rPr>
        <w:t>.</w:t>
      </w:r>
    </w:p>
    <w:p w14:paraId="45481905" w14:textId="77777777" w:rsidR="00781E7E" w:rsidRPr="00781E7E" w:rsidRDefault="00781E7E" w:rsidP="00781E7E">
      <w:pPr>
        <w:pStyle w:val="Default"/>
        <w:rPr>
          <w:sz w:val="22"/>
          <w:szCs w:val="22"/>
          <w:lang w:val="en-GB"/>
        </w:rPr>
      </w:pPr>
    </w:p>
    <w:p w14:paraId="79F4AF40" w14:textId="77777777" w:rsidR="00781E7E" w:rsidRPr="00781E7E" w:rsidRDefault="00781E7E" w:rsidP="00781E7E">
      <w:pPr>
        <w:pStyle w:val="Default"/>
        <w:rPr>
          <w:sz w:val="22"/>
          <w:szCs w:val="22"/>
          <w:lang w:val="en-GB"/>
        </w:rPr>
      </w:pPr>
      <w:r w:rsidRPr="00781E7E">
        <w:rPr>
          <w:sz w:val="22"/>
          <w:szCs w:val="22"/>
          <w:lang w:val="en-GB"/>
        </w:rPr>
        <w:t>Formatting Guidelines:</w:t>
      </w:r>
    </w:p>
    <w:p w14:paraId="456F060E" w14:textId="0CADABFE" w:rsidR="00781E7E" w:rsidRPr="00781E7E" w:rsidRDefault="00781E7E" w:rsidP="00781E7E">
      <w:pPr>
        <w:pStyle w:val="Default"/>
        <w:numPr>
          <w:ilvl w:val="0"/>
          <w:numId w:val="17"/>
        </w:numPr>
        <w:rPr>
          <w:sz w:val="22"/>
          <w:szCs w:val="22"/>
          <w:lang w:val="en-GB"/>
        </w:rPr>
      </w:pPr>
      <w:r w:rsidRPr="00781E7E">
        <w:rPr>
          <w:sz w:val="22"/>
          <w:szCs w:val="22"/>
          <w:lang w:val="en-GB"/>
        </w:rPr>
        <w:t>Chapter titles should be typed in 1</w:t>
      </w:r>
      <w:r w:rsidR="003C6B5E">
        <w:rPr>
          <w:sz w:val="22"/>
          <w:szCs w:val="22"/>
          <w:lang w:val="en-GB"/>
        </w:rPr>
        <w:t>1</w:t>
      </w:r>
      <w:r w:rsidRPr="00781E7E">
        <w:rPr>
          <w:sz w:val="22"/>
          <w:szCs w:val="22"/>
          <w:lang w:val="en-GB"/>
        </w:rPr>
        <w:t xml:space="preserve"> pt boldface.</w:t>
      </w:r>
    </w:p>
    <w:p w14:paraId="7FBF946C" w14:textId="69F7CFBE" w:rsidR="003C6B5E" w:rsidRDefault="003E096C" w:rsidP="00757217">
      <w:pPr>
        <w:pStyle w:val="Default"/>
        <w:numPr>
          <w:ilvl w:val="0"/>
          <w:numId w:val="17"/>
        </w:numPr>
        <w:rPr>
          <w:sz w:val="22"/>
          <w:szCs w:val="22"/>
          <w:lang w:val="en-GB"/>
        </w:rPr>
      </w:pPr>
      <w:r w:rsidRPr="003E096C">
        <w:rPr>
          <w:sz w:val="22"/>
          <w:szCs w:val="22"/>
          <w:lang w:val="en-GB"/>
        </w:rPr>
        <w:t>C</w:t>
      </w:r>
      <w:r w:rsidR="003C6B5E" w:rsidRPr="003E096C">
        <w:rPr>
          <w:sz w:val="22"/>
          <w:szCs w:val="22"/>
          <w:lang w:val="en-GB"/>
        </w:rPr>
        <w:t xml:space="preserve">hapter titles should have </w:t>
      </w:r>
      <w:r w:rsidRPr="003E096C">
        <w:rPr>
          <w:sz w:val="22"/>
          <w:szCs w:val="22"/>
          <w:lang w:val="en-GB"/>
        </w:rPr>
        <w:t xml:space="preserve">one line of space </w:t>
      </w:r>
      <w:r w:rsidR="001D1440">
        <w:rPr>
          <w:sz w:val="22"/>
          <w:szCs w:val="22"/>
          <w:lang w:val="en-GB"/>
        </w:rPr>
        <w:t xml:space="preserve">(11pt) </w:t>
      </w:r>
      <w:r w:rsidRPr="003E096C">
        <w:rPr>
          <w:sz w:val="22"/>
          <w:szCs w:val="22"/>
          <w:lang w:val="en-GB"/>
        </w:rPr>
        <w:t>above and none</w:t>
      </w:r>
      <w:r w:rsidRPr="003E096C">
        <w:rPr>
          <w:sz w:val="22"/>
          <w:szCs w:val="22"/>
          <w:lang w:val="en-GB"/>
        </w:rPr>
        <w:t xml:space="preserve"> </w:t>
      </w:r>
      <w:r w:rsidRPr="003E096C">
        <w:rPr>
          <w:sz w:val="22"/>
          <w:szCs w:val="22"/>
          <w:lang w:val="en-GB"/>
        </w:rPr>
        <w:t>below</w:t>
      </w:r>
      <w:r w:rsidR="003C6B5E" w:rsidRPr="003E096C">
        <w:rPr>
          <w:sz w:val="22"/>
          <w:szCs w:val="22"/>
          <w:lang w:val="en-GB"/>
        </w:rPr>
        <w:t>.</w:t>
      </w:r>
    </w:p>
    <w:p w14:paraId="38EE6557" w14:textId="701C0BEA" w:rsidR="001D1440" w:rsidRPr="003E096C" w:rsidRDefault="001D1440" w:rsidP="00757217">
      <w:pPr>
        <w:pStyle w:val="Default"/>
        <w:numPr>
          <w:ilvl w:val="0"/>
          <w:numId w:val="17"/>
        </w:numPr>
        <w:rPr>
          <w:sz w:val="22"/>
          <w:szCs w:val="22"/>
          <w:lang w:val="en-GB"/>
        </w:rPr>
      </w:pPr>
      <w:r w:rsidRPr="001D1440">
        <w:rPr>
          <w:sz w:val="22"/>
          <w:szCs w:val="22"/>
          <w:lang w:val="en-GB"/>
        </w:rPr>
        <w:t xml:space="preserve">Do not number </w:t>
      </w:r>
      <w:r>
        <w:rPr>
          <w:sz w:val="22"/>
          <w:szCs w:val="22"/>
          <w:lang w:val="en-GB"/>
        </w:rPr>
        <w:t>c</w:t>
      </w:r>
      <w:r w:rsidRPr="003E096C">
        <w:rPr>
          <w:sz w:val="22"/>
          <w:szCs w:val="22"/>
          <w:lang w:val="en-GB"/>
        </w:rPr>
        <w:t>hapter titles</w:t>
      </w:r>
      <w:r>
        <w:rPr>
          <w:sz w:val="22"/>
          <w:szCs w:val="22"/>
          <w:lang w:val="en-GB"/>
        </w:rPr>
        <w:t>.</w:t>
      </w:r>
    </w:p>
    <w:p w14:paraId="1DF00C97" w14:textId="77777777" w:rsidR="00781E7E" w:rsidRPr="00781E7E" w:rsidRDefault="00781E7E" w:rsidP="00781E7E">
      <w:pPr>
        <w:pStyle w:val="Default"/>
        <w:numPr>
          <w:ilvl w:val="0"/>
          <w:numId w:val="17"/>
        </w:numPr>
        <w:rPr>
          <w:sz w:val="22"/>
          <w:szCs w:val="22"/>
          <w:lang w:val="en-GB"/>
        </w:rPr>
      </w:pPr>
      <w:r w:rsidRPr="00781E7E">
        <w:rPr>
          <w:sz w:val="22"/>
          <w:szCs w:val="22"/>
          <w:lang w:val="en-GB"/>
        </w:rPr>
        <w:t>Utilize 11 pt "Times New Roman" font, justified, with single line spacing.</w:t>
      </w:r>
    </w:p>
    <w:p w14:paraId="5DC30AC5" w14:textId="77777777" w:rsidR="00781E7E" w:rsidRPr="00781E7E" w:rsidRDefault="00781E7E" w:rsidP="00781E7E">
      <w:pPr>
        <w:pStyle w:val="Default"/>
        <w:numPr>
          <w:ilvl w:val="0"/>
          <w:numId w:val="17"/>
        </w:numPr>
        <w:rPr>
          <w:sz w:val="22"/>
          <w:szCs w:val="22"/>
          <w:lang w:val="en-GB"/>
        </w:rPr>
      </w:pPr>
      <w:r w:rsidRPr="00781E7E">
        <w:rPr>
          <w:sz w:val="22"/>
          <w:szCs w:val="22"/>
          <w:lang w:val="en-GB"/>
        </w:rPr>
        <w:t>Replicate the specified spacing for text and headings as elucidated and demonstrated in the text.</w:t>
      </w:r>
    </w:p>
    <w:p w14:paraId="1E811A5C" w14:textId="77777777" w:rsidR="00781E7E" w:rsidRPr="00781E7E" w:rsidRDefault="00781E7E" w:rsidP="00781E7E">
      <w:pPr>
        <w:pStyle w:val="Default"/>
        <w:numPr>
          <w:ilvl w:val="0"/>
          <w:numId w:val="17"/>
        </w:numPr>
        <w:rPr>
          <w:sz w:val="22"/>
          <w:szCs w:val="22"/>
          <w:lang w:val="en-GB"/>
        </w:rPr>
      </w:pPr>
      <w:r w:rsidRPr="00781E7E">
        <w:rPr>
          <w:sz w:val="22"/>
          <w:szCs w:val="22"/>
          <w:lang w:val="en-GB"/>
        </w:rPr>
        <w:t>New paragraphs should lack indentation but instead be separated by a line of space.</w:t>
      </w:r>
    </w:p>
    <w:p w14:paraId="77DE52B9" w14:textId="59DD1064" w:rsidR="00781E7E" w:rsidRDefault="00781E7E" w:rsidP="00781E7E">
      <w:pPr>
        <w:pStyle w:val="Default"/>
        <w:numPr>
          <w:ilvl w:val="0"/>
          <w:numId w:val="17"/>
        </w:numPr>
        <w:jc w:val="both"/>
        <w:rPr>
          <w:sz w:val="22"/>
          <w:szCs w:val="22"/>
          <w:lang w:val="en-GB"/>
        </w:rPr>
      </w:pPr>
      <w:r w:rsidRPr="00781E7E">
        <w:rPr>
          <w:sz w:val="22"/>
          <w:szCs w:val="22"/>
          <w:lang w:val="en-GB"/>
        </w:rPr>
        <w:t>Avoid incorporating footnotes.</w:t>
      </w:r>
    </w:p>
    <w:p w14:paraId="4938D296" w14:textId="77777777" w:rsidR="00781E7E" w:rsidRPr="00781E7E" w:rsidRDefault="00781E7E" w:rsidP="00781E7E">
      <w:pPr>
        <w:pStyle w:val="Default"/>
        <w:jc w:val="both"/>
        <w:rPr>
          <w:sz w:val="22"/>
          <w:szCs w:val="22"/>
          <w:lang w:val="en-GB"/>
        </w:rPr>
      </w:pPr>
    </w:p>
    <w:p w14:paraId="522F8A0D" w14:textId="31F9DC25" w:rsidR="00C17046" w:rsidRDefault="00781E7E" w:rsidP="00FB1E89">
      <w:pPr>
        <w:spacing w:line="259" w:lineRule="auto"/>
        <w:rPr>
          <w:lang w:val="en-AU"/>
        </w:rPr>
      </w:pPr>
      <w:r w:rsidRPr="00781E7E">
        <w:rPr>
          <w:lang w:val="en-AU"/>
        </w:rPr>
        <w:t xml:space="preserve">The introductory section is expected to provide a </w:t>
      </w:r>
      <w:r w:rsidR="001D1440">
        <w:rPr>
          <w:lang w:val="en-AU"/>
        </w:rPr>
        <w:t>short</w:t>
      </w:r>
      <w:r w:rsidRPr="00781E7E">
        <w:rPr>
          <w:lang w:val="en-AU"/>
        </w:rPr>
        <w:t xml:space="preserve"> overview of the work's contextual background and articulate its specific objectives.</w:t>
      </w:r>
    </w:p>
    <w:p w14:paraId="3A362282" w14:textId="37B45EDE" w:rsidR="00C17046" w:rsidRDefault="00C17046" w:rsidP="00FB1E89">
      <w:pPr>
        <w:spacing w:line="259" w:lineRule="auto"/>
        <w:rPr>
          <w:lang w:val="en-AU"/>
        </w:rPr>
      </w:pPr>
    </w:p>
    <w:p w14:paraId="08868097" w14:textId="578D8349" w:rsidR="00FA0999" w:rsidRPr="001D1440" w:rsidRDefault="00FA0999" w:rsidP="00EB0A46">
      <w:pPr>
        <w:spacing w:line="259" w:lineRule="auto"/>
        <w:ind w:left="425" w:hanging="425"/>
        <w:rPr>
          <w:b/>
          <w:szCs w:val="22"/>
          <w:lang w:val="en-AU"/>
        </w:rPr>
      </w:pPr>
      <w:r w:rsidRPr="001D1440">
        <w:rPr>
          <w:b/>
          <w:szCs w:val="22"/>
          <w:lang w:val="en-AU"/>
        </w:rPr>
        <w:t>Methods</w:t>
      </w:r>
    </w:p>
    <w:p w14:paraId="12B7FEBD" w14:textId="4F87F1E6" w:rsidR="00FA0999" w:rsidRDefault="00781E7E" w:rsidP="005F34D5">
      <w:pPr>
        <w:spacing w:line="259" w:lineRule="auto"/>
        <w:rPr>
          <w:szCs w:val="22"/>
          <w:lang w:val="en-AU"/>
        </w:rPr>
      </w:pPr>
      <w:r w:rsidRPr="00781E7E">
        <w:rPr>
          <w:szCs w:val="22"/>
          <w:lang w:val="en-AU"/>
        </w:rPr>
        <w:t>Concisely outline the employed methods/techniques, excluding the explication of their principles if readers can be directed to readily available references or standard texts.</w:t>
      </w:r>
    </w:p>
    <w:p w14:paraId="1B751872" w14:textId="763782FC" w:rsidR="002E1708" w:rsidRDefault="002E1708" w:rsidP="005F34D5">
      <w:pPr>
        <w:spacing w:line="259" w:lineRule="auto"/>
        <w:rPr>
          <w:szCs w:val="22"/>
          <w:lang w:val="en-AU"/>
        </w:rPr>
      </w:pPr>
    </w:p>
    <w:p w14:paraId="2FBEB7DC" w14:textId="535908AC" w:rsidR="001D1440" w:rsidRDefault="001D1440" w:rsidP="005F34D5">
      <w:pPr>
        <w:spacing w:line="259" w:lineRule="auto"/>
        <w:rPr>
          <w:rFonts w:cs="Book Antiqua"/>
          <w:szCs w:val="20"/>
          <w:lang w:val="en-US"/>
        </w:rPr>
      </w:pPr>
      <w:r w:rsidRPr="001D1440">
        <w:rPr>
          <w:rFonts w:cs="Book Antiqua"/>
          <w:szCs w:val="20"/>
          <w:lang w:val="en-US"/>
        </w:rPr>
        <w:t xml:space="preserve">A maximum of two tables or two figures can be included in the abstract. Figures and tables are not mandatory. </w:t>
      </w:r>
    </w:p>
    <w:p w14:paraId="19071986" w14:textId="77777777" w:rsidR="001D1440" w:rsidRDefault="001D1440" w:rsidP="005F34D5">
      <w:pPr>
        <w:spacing w:line="259" w:lineRule="auto"/>
        <w:rPr>
          <w:rFonts w:cs="Book Antiqua"/>
          <w:szCs w:val="20"/>
          <w:lang w:val="en-US"/>
        </w:rPr>
      </w:pPr>
    </w:p>
    <w:p w14:paraId="01DFB1F9" w14:textId="42A041BF" w:rsidR="00FA0999" w:rsidRDefault="004322D3" w:rsidP="005F34D5">
      <w:pPr>
        <w:spacing w:line="259" w:lineRule="auto"/>
        <w:rPr>
          <w:szCs w:val="22"/>
          <w:lang w:val="en-AU"/>
        </w:rPr>
      </w:pPr>
      <w:r w:rsidRPr="004322D3">
        <w:rPr>
          <w:rFonts w:cs="Book Antiqua"/>
          <w:szCs w:val="20"/>
          <w:lang w:val="en-US"/>
        </w:rPr>
        <w:t>Figures may encompass illustrations or images in color or grayscale, requiring a minimum resolution of 300 dots per inch (dpi) for optimal readability. Sequentially number figures based on their occurrence in the text. Ensure accurate scaling of each figure to fit the available space, guaranteeing legibility. Maintain a minimum text size of 9 points on figures to facilitate easy readability.</w:t>
      </w:r>
    </w:p>
    <w:p w14:paraId="7FB9803D" w14:textId="0A79AD48" w:rsidR="00A47D15" w:rsidRDefault="00A47D15" w:rsidP="005F34D5">
      <w:pPr>
        <w:spacing w:line="259" w:lineRule="auto"/>
        <w:rPr>
          <w:szCs w:val="22"/>
          <w:lang w:val="en-AU"/>
        </w:rPr>
      </w:pPr>
    </w:p>
    <w:p w14:paraId="78F96637" w14:textId="1E36FB24" w:rsidR="00A47D15" w:rsidRDefault="004322D3" w:rsidP="005F34D5">
      <w:pPr>
        <w:spacing w:line="259" w:lineRule="auto"/>
        <w:rPr>
          <w:szCs w:val="22"/>
          <w:lang w:val="en-AU"/>
        </w:rPr>
      </w:pPr>
      <w:r w:rsidRPr="004322D3">
        <w:rPr>
          <w:szCs w:val="22"/>
          <w:lang w:val="en-AU"/>
        </w:rPr>
        <w:t>Tables must be presented in an editable format, avoiding image formats. Sequentially number tables based on their order in the text, and position any table notes beneath the table body. Exercise restraint in table usage, ensuring that the data presented does not replicate results elaborated elsewhere in the article. Abstain from incorporating vertical rules. Tables should adhere to a consistent style, exemplified in Table 1. Additionally, refrain from dividing tables across two pages.</w:t>
      </w:r>
    </w:p>
    <w:p w14:paraId="3CA9C1C9" w14:textId="77777777" w:rsidR="005F34D5" w:rsidRPr="005F34D5" w:rsidRDefault="005F34D5" w:rsidP="005F34D5">
      <w:pPr>
        <w:spacing w:line="259" w:lineRule="auto"/>
        <w:rPr>
          <w:szCs w:val="22"/>
          <w:lang w:val="en-AU"/>
        </w:rPr>
      </w:pPr>
    </w:p>
    <w:p w14:paraId="52996DF0" w14:textId="1CA5945E" w:rsidR="0083537E" w:rsidRDefault="009E539C" w:rsidP="00FB1E89">
      <w:pPr>
        <w:tabs>
          <w:tab w:val="left" w:pos="357"/>
        </w:tabs>
        <w:spacing w:line="259" w:lineRule="auto"/>
        <w:rPr>
          <w:rFonts w:cs="Book Antiqua"/>
          <w:szCs w:val="20"/>
          <w:lang w:val="en-US"/>
        </w:rPr>
      </w:pPr>
      <w:r w:rsidRPr="009E539C">
        <w:rPr>
          <w:rFonts w:cs="Book Antiqua"/>
          <w:szCs w:val="20"/>
          <w:lang w:val="en-US"/>
        </w:rPr>
        <w:t xml:space="preserve">Figure and table captions are to be formatted in 10-point bold typeface, following the prescribed </w:t>
      </w:r>
      <w:r w:rsidRPr="009E539C">
        <w:rPr>
          <w:rFonts w:cs="Book Antiqua"/>
          <w:szCs w:val="20"/>
          <w:lang w:val="en-US"/>
        </w:rPr>
        <w:lastRenderedPageBreak/>
        <w:t>structure as indicated below.</w:t>
      </w:r>
      <w:r w:rsidR="008367BE">
        <w:rPr>
          <w:rFonts w:cs="Book Antiqua"/>
          <w:szCs w:val="20"/>
          <w:lang w:val="en-US"/>
        </w:rPr>
        <w:t xml:space="preserve"> </w:t>
      </w:r>
    </w:p>
    <w:p w14:paraId="631B7590" w14:textId="77777777" w:rsidR="00A46B00" w:rsidRDefault="00A46B00" w:rsidP="008367BE">
      <w:pPr>
        <w:tabs>
          <w:tab w:val="left" w:pos="357"/>
        </w:tabs>
        <w:rPr>
          <w:rFonts w:cs="Book Antiqua"/>
          <w:szCs w:val="20"/>
          <w:lang w:val="en-US"/>
        </w:rPr>
      </w:pPr>
    </w:p>
    <w:p w14:paraId="2F7A0C4D" w14:textId="2FCE0021" w:rsidR="008367BE" w:rsidRDefault="0083537E" w:rsidP="00A46B00">
      <w:pPr>
        <w:pStyle w:val="Caption"/>
        <w:rPr>
          <w:b w:val="0"/>
        </w:rPr>
      </w:pPr>
      <w:r>
        <w:t xml:space="preserve">Table 1. </w:t>
      </w:r>
      <w:r w:rsidR="008367BE" w:rsidRPr="0083537E">
        <w:rPr>
          <w:b w:val="0"/>
        </w:rPr>
        <w:t>Caption heading for a ta</w:t>
      </w:r>
      <w:r>
        <w:rPr>
          <w:b w:val="0"/>
        </w:rPr>
        <w:t>ble should be placed at the top</w:t>
      </w:r>
      <w:r w:rsidR="00A47D15">
        <w:rPr>
          <w:b w:val="0"/>
        </w:rPr>
        <w:t xml:space="preserve"> and</w:t>
      </w:r>
      <w:r w:rsidR="00A47D15" w:rsidRPr="0083537E">
        <w:rPr>
          <w:b w:val="0"/>
        </w:rPr>
        <w:t xml:space="preserve"> centered</w:t>
      </w:r>
    </w:p>
    <w:tbl>
      <w:tblPr>
        <w:tblW w:w="6946"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1"/>
        <w:gridCol w:w="1219"/>
        <w:gridCol w:w="992"/>
        <w:gridCol w:w="709"/>
        <w:gridCol w:w="1134"/>
        <w:gridCol w:w="992"/>
        <w:gridCol w:w="709"/>
      </w:tblGrid>
      <w:tr w:rsidR="00296153" w:rsidRPr="00370B0D" w14:paraId="25C9F260" w14:textId="77777777" w:rsidTr="00296153">
        <w:trPr>
          <w:trHeight w:val="284"/>
          <w:jc w:val="center"/>
        </w:trPr>
        <w:tc>
          <w:tcPr>
            <w:tcW w:w="1191" w:type="dxa"/>
            <w:tcBorders>
              <w:top w:val="single" w:sz="12" w:space="0" w:color="auto"/>
              <w:bottom w:val="single" w:sz="12" w:space="0" w:color="auto"/>
              <w:right w:val="nil"/>
            </w:tcBorders>
            <w:shd w:val="clear" w:color="auto" w:fill="auto"/>
            <w:vAlign w:val="center"/>
          </w:tcPr>
          <w:p w14:paraId="2C98B569" w14:textId="77777777" w:rsidR="00296153" w:rsidRPr="00370B0D" w:rsidRDefault="00296153" w:rsidP="003C0B65">
            <w:pPr>
              <w:jc w:val="left"/>
              <w:rPr>
                <w:sz w:val="20"/>
              </w:rPr>
            </w:pPr>
            <w:r w:rsidRPr="00370B0D">
              <w:rPr>
                <w:sz w:val="20"/>
              </w:rPr>
              <w:t>Risk</w:t>
            </w:r>
          </w:p>
        </w:tc>
        <w:tc>
          <w:tcPr>
            <w:tcW w:w="1219" w:type="dxa"/>
            <w:tcBorders>
              <w:top w:val="single" w:sz="12" w:space="0" w:color="auto"/>
              <w:left w:val="nil"/>
              <w:bottom w:val="single" w:sz="12" w:space="0" w:color="auto"/>
              <w:right w:val="nil"/>
            </w:tcBorders>
            <w:shd w:val="clear" w:color="auto" w:fill="auto"/>
            <w:vAlign w:val="center"/>
          </w:tcPr>
          <w:p w14:paraId="79744526" w14:textId="77777777" w:rsidR="00296153" w:rsidRPr="00370B0D" w:rsidRDefault="00296153" w:rsidP="003C0B65">
            <w:pPr>
              <w:jc w:val="left"/>
              <w:rPr>
                <w:sz w:val="20"/>
              </w:rPr>
            </w:pPr>
            <w:r w:rsidRPr="00370B0D">
              <w:rPr>
                <w:sz w:val="20"/>
              </w:rPr>
              <w:t>Site Investigation</w:t>
            </w:r>
          </w:p>
        </w:tc>
        <w:tc>
          <w:tcPr>
            <w:tcW w:w="992" w:type="dxa"/>
            <w:tcBorders>
              <w:top w:val="single" w:sz="12" w:space="0" w:color="auto"/>
              <w:left w:val="nil"/>
              <w:bottom w:val="single" w:sz="12" w:space="0" w:color="auto"/>
              <w:right w:val="nil"/>
            </w:tcBorders>
            <w:shd w:val="clear" w:color="auto" w:fill="auto"/>
            <w:vAlign w:val="center"/>
          </w:tcPr>
          <w:p w14:paraId="7C8DB1FF" w14:textId="77777777" w:rsidR="00296153" w:rsidRPr="00370B0D" w:rsidRDefault="00296153" w:rsidP="003C0B65">
            <w:pPr>
              <w:jc w:val="left"/>
              <w:rPr>
                <w:sz w:val="20"/>
              </w:rPr>
            </w:pPr>
            <w:r w:rsidRPr="00370B0D">
              <w:rPr>
                <w:sz w:val="20"/>
              </w:rPr>
              <w:t>Technique</w:t>
            </w:r>
          </w:p>
        </w:tc>
        <w:tc>
          <w:tcPr>
            <w:tcW w:w="709" w:type="dxa"/>
            <w:tcBorders>
              <w:top w:val="single" w:sz="12" w:space="0" w:color="auto"/>
              <w:left w:val="nil"/>
              <w:bottom w:val="single" w:sz="12" w:space="0" w:color="auto"/>
              <w:right w:val="nil"/>
            </w:tcBorders>
            <w:shd w:val="clear" w:color="auto" w:fill="auto"/>
            <w:vAlign w:val="center"/>
          </w:tcPr>
          <w:p w14:paraId="62F272C1" w14:textId="77777777" w:rsidR="00296153" w:rsidRPr="00370B0D" w:rsidRDefault="00296153" w:rsidP="003C0B65">
            <w:pPr>
              <w:jc w:val="left"/>
              <w:rPr>
                <w:sz w:val="20"/>
              </w:rPr>
            </w:pPr>
            <w:r w:rsidRPr="00370B0D">
              <w:rPr>
                <w:sz w:val="20"/>
              </w:rPr>
              <w:t>Design</w:t>
            </w:r>
          </w:p>
        </w:tc>
        <w:tc>
          <w:tcPr>
            <w:tcW w:w="1134" w:type="dxa"/>
            <w:tcBorders>
              <w:top w:val="single" w:sz="12" w:space="0" w:color="auto"/>
              <w:left w:val="nil"/>
              <w:bottom w:val="single" w:sz="12" w:space="0" w:color="auto"/>
              <w:right w:val="nil"/>
            </w:tcBorders>
            <w:shd w:val="clear" w:color="auto" w:fill="auto"/>
            <w:vAlign w:val="center"/>
          </w:tcPr>
          <w:p w14:paraId="0A293E58" w14:textId="77777777" w:rsidR="00296153" w:rsidRPr="00370B0D" w:rsidRDefault="00296153" w:rsidP="003C0B65">
            <w:pPr>
              <w:jc w:val="left"/>
              <w:rPr>
                <w:sz w:val="20"/>
              </w:rPr>
            </w:pPr>
            <w:r w:rsidRPr="00370B0D">
              <w:rPr>
                <w:sz w:val="20"/>
              </w:rPr>
              <w:t>Performance</w:t>
            </w:r>
          </w:p>
        </w:tc>
        <w:tc>
          <w:tcPr>
            <w:tcW w:w="992" w:type="dxa"/>
            <w:tcBorders>
              <w:top w:val="single" w:sz="12" w:space="0" w:color="auto"/>
              <w:left w:val="nil"/>
              <w:bottom w:val="single" w:sz="12" w:space="0" w:color="auto"/>
              <w:right w:val="nil"/>
            </w:tcBorders>
            <w:vAlign w:val="center"/>
          </w:tcPr>
          <w:p w14:paraId="6B495C7B" w14:textId="77777777" w:rsidR="00296153" w:rsidRPr="00370B0D" w:rsidRDefault="00296153" w:rsidP="003C0B65">
            <w:pPr>
              <w:jc w:val="left"/>
              <w:rPr>
                <w:sz w:val="20"/>
              </w:rPr>
            </w:pPr>
            <w:r>
              <w:rPr>
                <w:sz w:val="20"/>
              </w:rPr>
              <w:t>Monitoring</w:t>
            </w:r>
          </w:p>
        </w:tc>
        <w:tc>
          <w:tcPr>
            <w:tcW w:w="709" w:type="dxa"/>
            <w:tcBorders>
              <w:top w:val="single" w:sz="12" w:space="0" w:color="auto"/>
              <w:left w:val="nil"/>
              <w:bottom w:val="single" w:sz="12" w:space="0" w:color="auto"/>
            </w:tcBorders>
            <w:shd w:val="clear" w:color="auto" w:fill="auto"/>
            <w:vAlign w:val="center"/>
          </w:tcPr>
          <w:p w14:paraId="786DC275" w14:textId="77777777" w:rsidR="00296153" w:rsidRPr="00370B0D" w:rsidRDefault="00296153" w:rsidP="003C0B65">
            <w:pPr>
              <w:jc w:val="left"/>
              <w:rPr>
                <w:sz w:val="20"/>
              </w:rPr>
            </w:pPr>
            <w:r w:rsidRPr="00370B0D">
              <w:rPr>
                <w:sz w:val="20"/>
              </w:rPr>
              <w:t>Priority vector</w:t>
            </w:r>
          </w:p>
        </w:tc>
      </w:tr>
      <w:tr w:rsidR="00296153" w:rsidRPr="00370B0D" w14:paraId="0C402D42" w14:textId="77777777" w:rsidTr="00296153">
        <w:trPr>
          <w:trHeight w:val="284"/>
          <w:jc w:val="center"/>
        </w:trPr>
        <w:tc>
          <w:tcPr>
            <w:tcW w:w="1191" w:type="dxa"/>
            <w:tcBorders>
              <w:top w:val="single" w:sz="12" w:space="0" w:color="auto"/>
              <w:bottom w:val="nil"/>
              <w:right w:val="nil"/>
            </w:tcBorders>
            <w:shd w:val="clear" w:color="auto" w:fill="auto"/>
            <w:vAlign w:val="center"/>
          </w:tcPr>
          <w:p w14:paraId="4F6407B1" w14:textId="77777777" w:rsidR="00296153" w:rsidRPr="00370B0D" w:rsidRDefault="00296153" w:rsidP="003C0B65">
            <w:pPr>
              <w:jc w:val="left"/>
              <w:rPr>
                <w:sz w:val="20"/>
              </w:rPr>
            </w:pPr>
            <w:r w:rsidRPr="00370B0D">
              <w:rPr>
                <w:sz w:val="20"/>
              </w:rPr>
              <w:t>Site investigation</w:t>
            </w:r>
          </w:p>
        </w:tc>
        <w:tc>
          <w:tcPr>
            <w:tcW w:w="1219" w:type="dxa"/>
            <w:tcBorders>
              <w:top w:val="single" w:sz="12" w:space="0" w:color="auto"/>
              <w:left w:val="nil"/>
              <w:bottom w:val="nil"/>
              <w:right w:val="nil"/>
            </w:tcBorders>
            <w:shd w:val="clear" w:color="auto" w:fill="auto"/>
            <w:vAlign w:val="center"/>
          </w:tcPr>
          <w:p w14:paraId="4B8801B1" w14:textId="77777777" w:rsidR="00296153" w:rsidRPr="00370B0D" w:rsidRDefault="00296153" w:rsidP="003C0B65">
            <w:pPr>
              <w:jc w:val="left"/>
              <w:rPr>
                <w:sz w:val="20"/>
              </w:rPr>
            </w:pPr>
            <w:r w:rsidRPr="00370B0D">
              <w:rPr>
                <w:sz w:val="20"/>
              </w:rPr>
              <w:t>1/1</w:t>
            </w:r>
          </w:p>
        </w:tc>
        <w:tc>
          <w:tcPr>
            <w:tcW w:w="992" w:type="dxa"/>
            <w:tcBorders>
              <w:top w:val="single" w:sz="12" w:space="0" w:color="auto"/>
              <w:left w:val="nil"/>
              <w:bottom w:val="nil"/>
              <w:right w:val="nil"/>
            </w:tcBorders>
            <w:shd w:val="clear" w:color="auto" w:fill="auto"/>
            <w:vAlign w:val="center"/>
          </w:tcPr>
          <w:p w14:paraId="3BB5CED3" w14:textId="562C9B48" w:rsidR="00296153" w:rsidRPr="00370B0D" w:rsidRDefault="001D1440" w:rsidP="003C0B65">
            <w:pPr>
              <w:jc w:val="left"/>
              <w:rPr>
                <w:sz w:val="20"/>
              </w:rPr>
            </w:pPr>
            <w:r>
              <w:rPr>
                <w:sz w:val="20"/>
              </w:rPr>
              <w:t>¼</w:t>
            </w:r>
          </w:p>
        </w:tc>
        <w:tc>
          <w:tcPr>
            <w:tcW w:w="709" w:type="dxa"/>
            <w:tcBorders>
              <w:top w:val="single" w:sz="12" w:space="0" w:color="auto"/>
              <w:left w:val="nil"/>
              <w:bottom w:val="nil"/>
              <w:right w:val="nil"/>
            </w:tcBorders>
            <w:shd w:val="clear" w:color="auto" w:fill="auto"/>
            <w:vAlign w:val="center"/>
          </w:tcPr>
          <w:p w14:paraId="48CC413B" w14:textId="77777777" w:rsidR="00296153" w:rsidRPr="00370B0D" w:rsidRDefault="00296153" w:rsidP="003C0B65">
            <w:pPr>
              <w:jc w:val="left"/>
              <w:rPr>
                <w:sz w:val="20"/>
              </w:rPr>
            </w:pPr>
            <w:r>
              <w:rPr>
                <w:sz w:val="20"/>
              </w:rPr>
              <w:t>1</w:t>
            </w:r>
            <w:r w:rsidRPr="00370B0D">
              <w:rPr>
                <w:sz w:val="20"/>
              </w:rPr>
              <w:t>/1</w:t>
            </w:r>
            <w:r>
              <w:rPr>
                <w:sz w:val="20"/>
              </w:rPr>
              <w:t>.5</w:t>
            </w:r>
          </w:p>
        </w:tc>
        <w:tc>
          <w:tcPr>
            <w:tcW w:w="1134" w:type="dxa"/>
            <w:tcBorders>
              <w:top w:val="single" w:sz="12" w:space="0" w:color="auto"/>
              <w:left w:val="nil"/>
              <w:bottom w:val="nil"/>
              <w:right w:val="nil"/>
            </w:tcBorders>
            <w:shd w:val="clear" w:color="auto" w:fill="auto"/>
            <w:vAlign w:val="center"/>
          </w:tcPr>
          <w:p w14:paraId="5EEF4056" w14:textId="77777777" w:rsidR="00296153" w:rsidRPr="00370B0D" w:rsidRDefault="00296153" w:rsidP="003C0B65">
            <w:pPr>
              <w:jc w:val="left"/>
              <w:rPr>
                <w:sz w:val="20"/>
              </w:rPr>
            </w:pPr>
            <w:r>
              <w:rPr>
                <w:sz w:val="20"/>
              </w:rPr>
              <w:t>1</w:t>
            </w:r>
            <w:r w:rsidRPr="00370B0D">
              <w:rPr>
                <w:sz w:val="20"/>
              </w:rPr>
              <w:t>/</w:t>
            </w:r>
            <w:r>
              <w:rPr>
                <w:sz w:val="20"/>
              </w:rPr>
              <w:t>2</w:t>
            </w:r>
          </w:p>
        </w:tc>
        <w:tc>
          <w:tcPr>
            <w:tcW w:w="992" w:type="dxa"/>
            <w:tcBorders>
              <w:top w:val="single" w:sz="12" w:space="0" w:color="auto"/>
              <w:left w:val="nil"/>
              <w:bottom w:val="nil"/>
              <w:right w:val="nil"/>
            </w:tcBorders>
            <w:vAlign w:val="center"/>
          </w:tcPr>
          <w:p w14:paraId="1B83FD29" w14:textId="77777777" w:rsidR="00296153" w:rsidRPr="00370B0D" w:rsidRDefault="00296153" w:rsidP="003C0B65">
            <w:pPr>
              <w:jc w:val="left"/>
              <w:rPr>
                <w:sz w:val="20"/>
              </w:rPr>
            </w:pPr>
            <w:r>
              <w:rPr>
                <w:sz w:val="20"/>
              </w:rPr>
              <w:t>1.5</w:t>
            </w:r>
            <w:r w:rsidRPr="00370B0D">
              <w:rPr>
                <w:sz w:val="20"/>
              </w:rPr>
              <w:t>/</w:t>
            </w:r>
            <w:r>
              <w:rPr>
                <w:sz w:val="20"/>
              </w:rPr>
              <w:t>1</w:t>
            </w:r>
          </w:p>
        </w:tc>
        <w:tc>
          <w:tcPr>
            <w:tcW w:w="709" w:type="dxa"/>
            <w:tcBorders>
              <w:top w:val="single" w:sz="12" w:space="0" w:color="auto"/>
              <w:left w:val="nil"/>
              <w:bottom w:val="nil"/>
            </w:tcBorders>
            <w:shd w:val="clear" w:color="auto" w:fill="auto"/>
            <w:vAlign w:val="center"/>
          </w:tcPr>
          <w:p w14:paraId="3193C02C" w14:textId="77777777" w:rsidR="00296153" w:rsidRPr="00370B0D" w:rsidRDefault="00296153" w:rsidP="003C0B65">
            <w:pPr>
              <w:jc w:val="left"/>
              <w:rPr>
                <w:sz w:val="20"/>
              </w:rPr>
            </w:pPr>
            <w:r>
              <w:rPr>
                <w:sz w:val="20"/>
              </w:rPr>
              <w:t>0.109</w:t>
            </w:r>
          </w:p>
        </w:tc>
      </w:tr>
      <w:tr w:rsidR="00296153" w:rsidRPr="00370B0D" w14:paraId="5DAC6074" w14:textId="77777777" w:rsidTr="00296153">
        <w:trPr>
          <w:trHeight w:val="284"/>
          <w:jc w:val="center"/>
        </w:trPr>
        <w:tc>
          <w:tcPr>
            <w:tcW w:w="1191" w:type="dxa"/>
            <w:tcBorders>
              <w:top w:val="nil"/>
              <w:bottom w:val="nil"/>
              <w:right w:val="nil"/>
            </w:tcBorders>
            <w:shd w:val="clear" w:color="auto" w:fill="auto"/>
            <w:vAlign w:val="center"/>
          </w:tcPr>
          <w:p w14:paraId="1514E537" w14:textId="77777777" w:rsidR="00296153" w:rsidRPr="00370B0D" w:rsidRDefault="00296153" w:rsidP="003C0B65">
            <w:pPr>
              <w:jc w:val="left"/>
              <w:rPr>
                <w:sz w:val="20"/>
              </w:rPr>
            </w:pPr>
            <w:r w:rsidRPr="00370B0D">
              <w:rPr>
                <w:sz w:val="20"/>
              </w:rPr>
              <w:t>Technique</w:t>
            </w:r>
          </w:p>
        </w:tc>
        <w:tc>
          <w:tcPr>
            <w:tcW w:w="1219" w:type="dxa"/>
            <w:tcBorders>
              <w:top w:val="nil"/>
              <w:left w:val="nil"/>
              <w:bottom w:val="nil"/>
              <w:right w:val="nil"/>
            </w:tcBorders>
            <w:shd w:val="clear" w:color="auto" w:fill="auto"/>
            <w:vAlign w:val="center"/>
          </w:tcPr>
          <w:p w14:paraId="5DAA3736" w14:textId="77777777" w:rsidR="00296153" w:rsidRPr="00370B0D" w:rsidRDefault="00296153" w:rsidP="003C0B65">
            <w:pPr>
              <w:jc w:val="left"/>
              <w:rPr>
                <w:sz w:val="20"/>
              </w:rPr>
            </w:pPr>
            <w:r>
              <w:rPr>
                <w:sz w:val="20"/>
              </w:rPr>
              <w:t>4/1</w:t>
            </w:r>
          </w:p>
        </w:tc>
        <w:tc>
          <w:tcPr>
            <w:tcW w:w="992" w:type="dxa"/>
            <w:tcBorders>
              <w:top w:val="nil"/>
              <w:left w:val="nil"/>
              <w:bottom w:val="nil"/>
              <w:right w:val="nil"/>
            </w:tcBorders>
            <w:shd w:val="clear" w:color="auto" w:fill="auto"/>
            <w:vAlign w:val="center"/>
          </w:tcPr>
          <w:p w14:paraId="6614F05A" w14:textId="77777777" w:rsidR="00296153" w:rsidRPr="00370B0D" w:rsidRDefault="00296153" w:rsidP="003C0B65">
            <w:pPr>
              <w:jc w:val="left"/>
              <w:rPr>
                <w:sz w:val="20"/>
              </w:rPr>
            </w:pPr>
            <w:r w:rsidRPr="00370B0D">
              <w:rPr>
                <w:sz w:val="20"/>
              </w:rPr>
              <w:t>1/1</w:t>
            </w:r>
          </w:p>
        </w:tc>
        <w:tc>
          <w:tcPr>
            <w:tcW w:w="709" w:type="dxa"/>
            <w:tcBorders>
              <w:top w:val="nil"/>
              <w:left w:val="nil"/>
              <w:bottom w:val="nil"/>
              <w:right w:val="nil"/>
            </w:tcBorders>
            <w:shd w:val="clear" w:color="auto" w:fill="auto"/>
            <w:vAlign w:val="center"/>
          </w:tcPr>
          <w:p w14:paraId="4C558F73" w14:textId="77777777" w:rsidR="00296153" w:rsidRPr="00370B0D" w:rsidRDefault="00296153" w:rsidP="003C0B65">
            <w:pPr>
              <w:jc w:val="left"/>
              <w:rPr>
                <w:sz w:val="20"/>
              </w:rPr>
            </w:pPr>
            <w:r>
              <w:rPr>
                <w:sz w:val="20"/>
              </w:rPr>
              <w:t>3</w:t>
            </w:r>
            <w:r w:rsidRPr="00370B0D">
              <w:rPr>
                <w:sz w:val="20"/>
              </w:rPr>
              <w:t>/1</w:t>
            </w:r>
          </w:p>
        </w:tc>
        <w:tc>
          <w:tcPr>
            <w:tcW w:w="1134" w:type="dxa"/>
            <w:tcBorders>
              <w:top w:val="nil"/>
              <w:left w:val="nil"/>
              <w:bottom w:val="nil"/>
              <w:right w:val="nil"/>
            </w:tcBorders>
            <w:shd w:val="clear" w:color="auto" w:fill="auto"/>
            <w:vAlign w:val="center"/>
          </w:tcPr>
          <w:p w14:paraId="096D180E" w14:textId="77777777" w:rsidR="00296153" w:rsidRPr="00370B0D" w:rsidRDefault="00296153" w:rsidP="003C0B65">
            <w:pPr>
              <w:jc w:val="left"/>
              <w:rPr>
                <w:sz w:val="20"/>
              </w:rPr>
            </w:pPr>
            <w:r>
              <w:rPr>
                <w:sz w:val="20"/>
              </w:rPr>
              <w:t>1.5</w:t>
            </w:r>
            <w:r w:rsidRPr="00370B0D">
              <w:rPr>
                <w:sz w:val="20"/>
              </w:rPr>
              <w:t>/</w:t>
            </w:r>
            <w:r>
              <w:rPr>
                <w:sz w:val="20"/>
              </w:rPr>
              <w:t>1</w:t>
            </w:r>
          </w:p>
        </w:tc>
        <w:tc>
          <w:tcPr>
            <w:tcW w:w="992" w:type="dxa"/>
            <w:tcBorders>
              <w:top w:val="nil"/>
              <w:left w:val="nil"/>
              <w:bottom w:val="nil"/>
              <w:right w:val="nil"/>
            </w:tcBorders>
            <w:vAlign w:val="center"/>
          </w:tcPr>
          <w:p w14:paraId="39408C6E" w14:textId="77777777" w:rsidR="00296153" w:rsidRPr="00370B0D" w:rsidRDefault="00296153" w:rsidP="003C0B65">
            <w:pPr>
              <w:jc w:val="left"/>
              <w:rPr>
                <w:sz w:val="20"/>
              </w:rPr>
            </w:pPr>
            <w:r>
              <w:rPr>
                <w:sz w:val="20"/>
              </w:rPr>
              <w:t>6</w:t>
            </w:r>
            <w:r w:rsidRPr="00370B0D">
              <w:rPr>
                <w:sz w:val="20"/>
              </w:rPr>
              <w:t>/</w:t>
            </w:r>
            <w:r>
              <w:rPr>
                <w:sz w:val="20"/>
              </w:rPr>
              <w:t>1</w:t>
            </w:r>
          </w:p>
        </w:tc>
        <w:tc>
          <w:tcPr>
            <w:tcW w:w="709" w:type="dxa"/>
            <w:tcBorders>
              <w:top w:val="nil"/>
              <w:left w:val="nil"/>
              <w:bottom w:val="nil"/>
            </w:tcBorders>
            <w:shd w:val="clear" w:color="auto" w:fill="auto"/>
            <w:vAlign w:val="center"/>
          </w:tcPr>
          <w:p w14:paraId="7C582C67" w14:textId="77777777" w:rsidR="00296153" w:rsidRPr="00370B0D" w:rsidRDefault="00296153" w:rsidP="003C0B65">
            <w:pPr>
              <w:jc w:val="left"/>
              <w:rPr>
                <w:sz w:val="20"/>
              </w:rPr>
            </w:pPr>
            <w:r>
              <w:rPr>
                <w:sz w:val="20"/>
              </w:rPr>
              <w:t>0.419</w:t>
            </w:r>
          </w:p>
        </w:tc>
      </w:tr>
      <w:tr w:rsidR="00296153" w:rsidRPr="00370B0D" w14:paraId="659D3577" w14:textId="77777777" w:rsidTr="00296153">
        <w:trPr>
          <w:trHeight w:val="284"/>
          <w:jc w:val="center"/>
        </w:trPr>
        <w:tc>
          <w:tcPr>
            <w:tcW w:w="1191" w:type="dxa"/>
            <w:tcBorders>
              <w:top w:val="nil"/>
              <w:bottom w:val="nil"/>
              <w:right w:val="nil"/>
            </w:tcBorders>
            <w:shd w:val="clear" w:color="auto" w:fill="auto"/>
            <w:vAlign w:val="center"/>
          </w:tcPr>
          <w:p w14:paraId="38FD37DB" w14:textId="77777777" w:rsidR="00296153" w:rsidRPr="00370B0D" w:rsidRDefault="00296153" w:rsidP="003C0B65">
            <w:pPr>
              <w:jc w:val="left"/>
              <w:rPr>
                <w:sz w:val="20"/>
              </w:rPr>
            </w:pPr>
            <w:r w:rsidRPr="00370B0D">
              <w:rPr>
                <w:sz w:val="20"/>
              </w:rPr>
              <w:t>Design</w:t>
            </w:r>
          </w:p>
        </w:tc>
        <w:tc>
          <w:tcPr>
            <w:tcW w:w="1219" w:type="dxa"/>
            <w:tcBorders>
              <w:top w:val="nil"/>
              <w:left w:val="nil"/>
              <w:bottom w:val="nil"/>
              <w:right w:val="nil"/>
            </w:tcBorders>
            <w:shd w:val="clear" w:color="auto" w:fill="auto"/>
            <w:vAlign w:val="center"/>
          </w:tcPr>
          <w:p w14:paraId="65548DBF" w14:textId="77777777" w:rsidR="00296153" w:rsidRPr="00370B0D" w:rsidRDefault="00296153" w:rsidP="003C0B65">
            <w:pPr>
              <w:jc w:val="left"/>
              <w:rPr>
                <w:sz w:val="20"/>
              </w:rPr>
            </w:pPr>
            <w:r w:rsidRPr="00370B0D">
              <w:rPr>
                <w:sz w:val="20"/>
              </w:rPr>
              <w:t>1/</w:t>
            </w:r>
            <w:r>
              <w:rPr>
                <w:sz w:val="20"/>
              </w:rPr>
              <w:t>2</w:t>
            </w:r>
            <w:r w:rsidRPr="00370B0D">
              <w:rPr>
                <w:sz w:val="20"/>
              </w:rPr>
              <w:t>.5</w:t>
            </w:r>
          </w:p>
        </w:tc>
        <w:tc>
          <w:tcPr>
            <w:tcW w:w="992" w:type="dxa"/>
            <w:tcBorders>
              <w:top w:val="nil"/>
              <w:left w:val="nil"/>
              <w:bottom w:val="nil"/>
              <w:right w:val="nil"/>
            </w:tcBorders>
            <w:shd w:val="clear" w:color="auto" w:fill="auto"/>
            <w:vAlign w:val="center"/>
          </w:tcPr>
          <w:p w14:paraId="77CEB346" w14:textId="77777777" w:rsidR="00296153" w:rsidRPr="00370B0D" w:rsidRDefault="00296153" w:rsidP="003C0B65">
            <w:pPr>
              <w:jc w:val="left"/>
              <w:rPr>
                <w:sz w:val="20"/>
              </w:rPr>
            </w:pPr>
            <w:r w:rsidRPr="00370B0D">
              <w:rPr>
                <w:sz w:val="20"/>
              </w:rPr>
              <w:t>1/</w:t>
            </w:r>
            <w:r>
              <w:rPr>
                <w:sz w:val="20"/>
              </w:rPr>
              <w:t>3</w:t>
            </w:r>
          </w:p>
        </w:tc>
        <w:tc>
          <w:tcPr>
            <w:tcW w:w="709" w:type="dxa"/>
            <w:tcBorders>
              <w:top w:val="nil"/>
              <w:left w:val="nil"/>
              <w:bottom w:val="nil"/>
              <w:right w:val="nil"/>
            </w:tcBorders>
            <w:shd w:val="clear" w:color="auto" w:fill="auto"/>
            <w:vAlign w:val="center"/>
          </w:tcPr>
          <w:p w14:paraId="4FC06AEE" w14:textId="77777777" w:rsidR="00296153" w:rsidRPr="00370B0D" w:rsidRDefault="00296153" w:rsidP="003C0B65">
            <w:pPr>
              <w:jc w:val="left"/>
              <w:rPr>
                <w:sz w:val="20"/>
              </w:rPr>
            </w:pPr>
            <w:r w:rsidRPr="00370B0D">
              <w:rPr>
                <w:sz w:val="20"/>
              </w:rPr>
              <w:t>1/1</w:t>
            </w:r>
          </w:p>
        </w:tc>
        <w:tc>
          <w:tcPr>
            <w:tcW w:w="1134" w:type="dxa"/>
            <w:tcBorders>
              <w:top w:val="nil"/>
              <w:left w:val="nil"/>
              <w:bottom w:val="nil"/>
              <w:right w:val="nil"/>
            </w:tcBorders>
            <w:shd w:val="clear" w:color="auto" w:fill="auto"/>
            <w:vAlign w:val="center"/>
          </w:tcPr>
          <w:p w14:paraId="23D318E2" w14:textId="77777777" w:rsidR="00296153" w:rsidRPr="00370B0D" w:rsidRDefault="00296153" w:rsidP="003C0B65">
            <w:pPr>
              <w:jc w:val="left"/>
              <w:rPr>
                <w:sz w:val="20"/>
              </w:rPr>
            </w:pPr>
            <w:r>
              <w:rPr>
                <w:sz w:val="20"/>
              </w:rPr>
              <w:t>1/2</w:t>
            </w:r>
          </w:p>
        </w:tc>
        <w:tc>
          <w:tcPr>
            <w:tcW w:w="992" w:type="dxa"/>
            <w:tcBorders>
              <w:top w:val="nil"/>
              <w:left w:val="nil"/>
              <w:bottom w:val="nil"/>
              <w:right w:val="nil"/>
            </w:tcBorders>
            <w:vAlign w:val="center"/>
          </w:tcPr>
          <w:p w14:paraId="746E6992" w14:textId="77777777" w:rsidR="00296153" w:rsidRPr="00370B0D" w:rsidRDefault="00296153" w:rsidP="003C0B65">
            <w:pPr>
              <w:jc w:val="left"/>
              <w:rPr>
                <w:sz w:val="20"/>
              </w:rPr>
            </w:pPr>
            <w:r>
              <w:rPr>
                <w:sz w:val="20"/>
              </w:rPr>
              <w:t>2</w:t>
            </w:r>
            <w:r w:rsidRPr="00370B0D">
              <w:rPr>
                <w:sz w:val="20"/>
              </w:rPr>
              <w:t>/</w:t>
            </w:r>
            <w:r>
              <w:rPr>
                <w:sz w:val="20"/>
              </w:rPr>
              <w:t>1</w:t>
            </w:r>
          </w:p>
        </w:tc>
        <w:tc>
          <w:tcPr>
            <w:tcW w:w="709" w:type="dxa"/>
            <w:tcBorders>
              <w:top w:val="nil"/>
              <w:left w:val="nil"/>
              <w:bottom w:val="nil"/>
            </w:tcBorders>
            <w:shd w:val="clear" w:color="auto" w:fill="auto"/>
            <w:vAlign w:val="center"/>
          </w:tcPr>
          <w:p w14:paraId="4AD4ED37" w14:textId="77777777" w:rsidR="00296153" w:rsidRPr="00370B0D" w:rsidRDefault="00296153" w:rsidP="003C0B65">
            <w:pPr>
              <w:jc w:val="left"/>
              <w:rPr>
                <w:sz w:val="20"/>
              </w:rPr>
            </w:pPr>
            <w:r>
              <w:rPr>
                <w:sz w:val="20"/>
              </w:rPr>
              <w:t>0.143</w:t>
            </w:r>
          </w:p>
        </w:tc>
      </w:tr>
      <w:tr w:rsidR="00296153" w:rsidRPr="00370B0D" w14:paraId="030A4C66" w14:textId="77777777" w:rsidTr="00296153">
        <w:trPr>
          <w:trHeight w:val="284"/>
          <w:jc w:val="center"/>
        </w:trPr>
        <w:tc>
          <w:tcPr>
            <w:tcW w:w="1191" w:type="dxa"/>
            <w:tcBorders>
              <w:top w:val="nil"/>
              <w:bottom w:val="nil"/>
              <w:right w:val="nil"/>
            </w:tcBorders>
            <w:shd w:val="clear" w:color="auto" w:fill="auto"/>
            <w:vAlign w:val="center"/>
          </w:tcPr>
          <w:p w14:paraId="5B18F1F1" w14:textId="77777777" w:rsidR="00296153" w:rsidRPr="00370B0D" w:rsidRDefault="00296153" w:rsidP="003C0B65">
            <w:pPr>
              <w:jc w:val="left"/>
              <w:rPr>
                <w:sz w:val="20"/>
              </w:rPr>
            </w:pPr>
            <w:r w:rsidRPr="00370B0D">
              <w:rPr>
                <w:sz w:val="20"/>
              </w:rPr>
              <w:t>Performance</w:t>
            </w:r>
          </w:p>
        </w:tc>
        <w:tc>
          <w:tcPr>
            <w:tcW w:w="1219" w:type="dxa"/>
            <w:tcBorders>
              <w:top w:val="nil"/>
              <w:left w:val="nil"/>
              <w:bottom w:val="nil"/>
              <w:right w:val="nil"/>
            </w:tcBorders>
            <w:shd w:val="clear" w:color="auto" w:fill="auto"/>
            <w:vAlign w:val="center"/>
          </w:tcPr>
          <w:p w14:paraId="670690FA" w14:textId="77777777" w:rsidR="00296153" w:rsidRPr="00370B0D" w:rsidRDefault="00296153" w:rsidP="003C0B65">
            <w:pPr>
              <w:jc w:val="left"/>
              <w:rPr>
                <w:sz w:val="20"/>
              </w:rPr>
            </w:pPr>
            <w:r w:rsidRPr="00370B0D">
              <w:rPr>
                <w:sz w:val="20"/>
              </w:rPr>
              <w:t>1/</w:t>
            </w:r>
            <w:r>
              <w:rPr>
                <w:sz w:val="20"/>
              </w:rPr>
              <w:t>2</w:t>
            </w:r>
          </w:p>
        </w:tc>
        <w:tc>
          <w:tcPr>
            <w:tcW w:w="992" w:type="dxa"/>
            <w:tcBorders>
              <w:top w:val="nil"/>
              <w:left w:val="nil"/>
              <w:bottom w:val="nil"/>
              <w:right w:val="nil"/>
            </w:tcBorders>
            <w:shd w:val="clear" w:color="auto" w:fill="auto"/>
            <w:vAlign w:val="center"/>
          </w:tcPr>
          <w:p w14:paraId="01F4AC47" w14:textId="77777777" w:rsidR="00296153" w:rsidRPr="00370B0D" w:rsidRDefault="00296153" w:rsidP="003C0B65">
            <w:pPr>
              <w:jc w:val="left"/>
              <w:rPr>
                <w:sz w:val="20"/>
              </w:rPr>
            </w:pPr>
            <w:r>
              <w:rPr>
                <w:sz w:val="20"/>
              </w:rPr>
              <w:t>1</w:t>
            </w:r>
            <w:r w:rsidRPr="00370B0D">
              <w:rPr>
                <w:sz w:val="20"/>
              </w:rPr>
              <w:t>/1</w:t>
            </w:r>
            <w:r>
              <w:rPr>
                <w:sz w:val="20"/>
              </w:rPr>
              <w:t>.5</w:t>
            </w:r>
          </w:p>
        </w:tc>
        <w:tc>
          <w:tcPr>
            <w:tcW w:w="709" w:type="dxa"/>
            <w:tcBorders>
              <w:top w:val="nil"/>
              <w:left w:val="nil"/>
              <w:bottom w:val="nil"/>
              <w:right w:val="nil"/>
            </w:tcBorders>
            <w:shd w:val="clear" w:color="auto" w:fill="auto"/>
            <w:vAlign w:val="center"/>
          </w:tcPr>
          <w:p w14:paraId="2281D106" w14:textId="77777777" w:rsidR="00296153" w:rsidRPr="00370B0D" w:rsidRDefault="00296153" w:rsidP="003C0B65">
            <w:pPr>
              <w:jc w:val="left"/>
              <w:rPr>
                <w:sz w:val="20"/>
              </w:rPr>
            </w:pPr>
            <w:r>
              <w:rPr>
                <w:sz w:val="20"/>
              </w:rPr>
              <w:t>2</w:t>
            </w:r>
            <w:r w:rsidRPr="00370B0D">
              <w:rPr>
                <w:sz w:val="20"/>
              </w:rPr>
              <w:t>/1</w:t>
            </w:r>
          </w:p>
        </w:tc>
        <w:tc>
          <w:tcPr>
            <w:tcW w:w="1134" w:type="dxa"/>
            <w:tcBorders>
              <w:top w:val="nil"/>
              <w:left w:val="nil"/>
              <w:bottom w:val="nil"/>
              <w:right w:val="nil"/>
            </w:tcBorders>
            <w:shd w:val="clear" w:color="auto" w:fill="auto"/>
            <w:vAlign w:val="center"/>
          </w:tcPr>
          <w:p w14:paraId="693C939E" w14:textId="77777777" w:rsidR="00296153" w:rsidRPr="00370B0D" w:rsidRDefault="00296153" w:rsidP="003C0B65">
            <w:pPr>
              <w:jc w:val="left"/>
              <w:rPr>
                <w:sz w:val="20"/>
              </w:rPr>
            </w:pPr>
            <w:r w:rsidRPr="00370B0D">
              <w:rPr>
                <w:sz w:val="20"/>
              </w:rPr>
              <w:t>1/1</w:t>
            </w:r>
          </w:p>
        </w:tc>
        <w:tc>
          <w:tcPr>
            <w:tcW w:w="992" w:type="dxa"/>
            <w:tcBorders>
              <w:top w:val="nil"/>
              <w:left w:val="nil"/>
              <w:bottom w:val="nil"/>
              <w:right w:val="nil"/>
            </w:tcBorders>
            <w:vAlign w:val="center"/>
          </w:tcPr>
          <w:p w14:paraId="53F80D55" w14:textId="77777777" w:rsidR="00296153" w:rsidRPr="00370B0D" w:rsidRDefault="00296153" w:rsidP="003C0B65">
            <w:pPr>
              <w:jc w:val="left"/>
              <w:rPr>
                <w:sz w:val="20"/>
              </w:rPr>
            </w:pPr>
            <w:r>
              <w:rPr>
                <w:sz w:val="20"/>
              </w:rPr>
              <w:t>3.5</w:t>
            </w:r>
            <w:r w:rsidRPr="00370B0D">
              <w:rPr>
                <w:sz w:val="20"/>
              </w:rPr>
              <w:t>/1</w:t>
            </w:r>
          </w:p>
        </w:tc>
        <w:tc>
          <w:tcPr>
            <w:tcW w:w="709" w:type="dxa"/>
            <w:tcBorders>
              <w:top w:val="nil"/>
              <w:left w:val="nil"/>
              <w:bottom w:val="nil"/>
            </w:tcBorders>
            <w:shd w:val="clear" w:color="auto" w:fill="auto"/>
            <w:vAlign w:val="center"/>
          </w:tcPr>
          <w:p w14:paraId="6E245629" w14:textId="77777777" w:rsidR="00296153" w:rsidRPr="00370B0D" w:rsidRDefault="00296153" w:rsidP="003C0B65">
            <w:pPr>
              <w:jc w:val="left"/>
              <w:rPr>
                <w:sz w:val="20"/>
              </w:rPr>
            </w:pPr>
            <w:r>
              <w:rPr>
                <w:sz w:val="20"/>
              </w:rPr>
              <w:t>0.258</w:t>
            </w:r>
          </w:p>
        </w:tc>
      </w:tr>
      <w:tr w:rsidR="00296153" w:rsidRPr="00370B0D" w14:paraId="15DBBEE3" w14:textId="77777777" w:rsidTr="00296153">
        <w:trPr>
          <w:trHeight w:val="284"/>
          <w:jc w:val="center"/>
        </w:trPr>
        <w:tc>
          <w:tcPr>
            <w:tcW w:w="1191" w:type="dxa"/>
            <w:tcBorders>
              <w:top w:val="nil"/>
              <w:bottom w:val="single" w:sz="12" w:space="0" w:color="auto"/>
              <w:right w:val="nil"/>
            </w:tcBorders>
            <w:shd w:val="clear" w:color="auto" w:fill="auto"/>
            <w:vAlign w:val="center"/>
          </w:tcPr>
          <w:p w14:paraId="3D218EF1" w14:textId="77777777" w:rsidR="00296153" w:rsidRPr="00370B0D" w:rsidRDefault="00296153" w:rsidP="003C0B65">
            <w:pPr>
              <w:jc w:val="left"/>
              <w:rPr>
                <w:sz w:val="20"/>
              </w:rPr>
            </w:pPr>
            <w:r w:rsidRPr="00370B0D">
              <w:rPr>
                <w:sz w:val="20"/>
              </w:rPr>
              <w:t>Monitoring</w:t>
            </w:r>
          </w:p>
        </w:tc>
        <w:tc>
          <w:tcPr>
            <w:tcW w:w="1219" w:type="dxa"/>
            <w:tcBorders>
              <w:top w:val="nil"/>
              <w:left w:val="nil"/>
              <w:bottom w:val="single" w:sz="12" w:space="0" w:color="auto"/>
              <w:right w:val="nil"/>
            </w:tcBorders>
            <w:shd w:val="clear" w:color="auto" w:fill="auto"/>
            <w:vAlign w:val="center"/>
          </w:tcPr>
          <w:p w14:paraId="4B757BA2" w14:textId="77777777" w:rsidR="00296153" w:rsidRPr="00370B0D" w:rsidRDefault="00296153" w:rsidP="003C0B65">
            <w:pPr>
              <w:jc w:val="left"/>
              <w:rPr>
                <w:sz w:val="20"/>
              </w:rPr>
            </w:pPr>
            <w:r w:rsidRPr="00370B0D">
              <w:rPr>
                <w:sz w:val="20"/>
              </w:rPr>
              <w:t>1/3</w:t>
            </w:r>
          </w:p>
        </w:tc>
        <w:tc>
          <w:tcPr>
            <w:tcW w:w="992" w:type="dxa"/>
            <w:tcBorders>
              <w:top w:val="nil"/>
              <w:left w:val="nil"/>
              <w:bottom w:val="single" w:sz="12" w:space="0" w:color="auto"/>
              <w:right w:val="nil"/>
            </w:tcBorders>
            <w:shd w:val="clear" w:color="auto" w:fill="auto"/>
            <w:vAlign w:val="center"/>
          </w:tcPr>
          <w:p w14:paraId="7514DCA6" w14:textId="77777777" w:rsidR="00296153" w:rsidRPr="00370B0D" w:rsidRDefault="00296153" w:rsidP="003C0B65">
            <w:pPr>
              <w:jc w:val="left"/>
              <w:rPr>
                <w:sz w:val="20"/>
              </w:rPr>
            </w:pPr>
            <w:r w:rsidRPr="00370B0D">
              <w:rPr>
                <w:sz w:val="20"/>
              </w:rPr>
              <w:t>1/</w:t>
            </w:r>
            <w:r>
              <w:rPr>
                <w:sz w:val="20"/>
              </w:rPr>
              <w:t>6</w:t>
            </w:r>
          </w:p>
        </w:tc>
        <w:tc>
          <w:tcPr>
            <w:tcW w:w="709" w:type="dxa"/>
            <w:tcBorders>
              <w:top w:val="nil"/>
              <w:left w:val="nil"/>
              <w:bottom w:val="single" w:sz="12" w:space="0" w:color="auto"/>
              <w:right w:val="nil"/>
            </w:tcBorders>
            <w:shd w:val="clear" w:color="auto" w:fill="auto"/>
            <w:vAlign w:val="center"/>
          </w:tcPr>
          <w:p w14:paraId="3C61D49A" w14:textId="77777777" w:rsidR="00296153" w:rsidRPr="00370B0D" w:rsidRDefault="00296153" w:rsidP="003C0B65">
            <w:pPr>
              <w:jc w:val="left"/>
              <w:rPr>
                <w:sz w:val="20"/>
              </w:rPr>
            </w:pPr>
            <w:r>
              <w:rPr>
                <w:sz w:val="20"/>
              </w:rPr>
              <w:t>1/2</w:t>
            </w:r>
          </w:p>
        </w:tc>
        <w:tc>
          <w:tcPr>
            <w:tcW w:w="1134" w:type="dxa"/>
            <w:tcBorders>
              <w:top w:val="nil"/>
              <w:left w:val="nil"/>
              <w:bottom w:val="single" w:sz="12" w:space="0" w:color="auto"/>
              <w:right w:val="nil"/>
            </w:tcBorders>
            <w:shd w:val="clear" w:color="auto" w:fill="auto"/>
            <w:vAlign w:val="center"/>
          </w:tcPr>
          <w:p w14:paraId="1025DB02" w14:textId="77777777" w:rsidR="00296153" w:rsidRPr="00370B0D" w:rsidRDefault="00296153" w:rsidP="003C0B65">
            <w:pPr>
              <w:jc w:val="left"/>
              <w:rPr>
                <w:sz w:val="20"/>
              </w:rPr>
            </w:pPr>
            <w:r>
              <w:rPr>
                <w:sz w:val="20"/>
              </w:rPr>
              <w:t>1/3.5</w:t>
            </w:r>
          </w:p>
        </w:tc>
        <w:tc>
          <w:tcPr>
            <w:tcW w:w="992" w:type="dxa"/>
            <w:tcBorders>
              <w:top w:val="nil"/>
              <w:left w:val="nil"/>
              <w:bottom w:val="single" w:sz="12" w:space="0" w:color="auto"/>
              <w:right w:val="nil"/>
            </w:tcBorders>
            <w:vAlign w:val="center"/>
          </w:tcPr>
          <w:p w14:paraId="174FA502" w14:textId="77777777" w:rsidR="00296153" w:rsidRPr="00370B0D" w:rsidRDefault="00296153" w:rsidP="003C0B65">
            <w:pPr>
              <w:jc w:val="left"/>
              <w:rPr>
                <w:sz w:val="20"/>
              </w:rPr>
            </w:pPr>
            <w:r w:rsidRPr="00370B0D">
              <w:rPr>
                <w:sz w:val="20"/>
              </w:rPr>
              <w:t>1/</w:t>
            </w:r>
            <w:r>
              <w:rPr>
                <w:sz w:val="20"/>
              </w:rPr>
              <w:t>1</w:t>
            </w:r>
          </w:p>
        </w:tc>
        <w:tc>
          <w:tcPr>
            <w:tcW w:w="709" w:type="dxa"/>
            <w:tcBorders>
              <w:top w:val="nil"/>
              <w:left w:val="nil"/>
              <w:bottom w:val="single" w:sz="12" w:space="0" w:color="auto"/>
            </w:tcBorders>
            <w:shd w:val="clear" w:color="auto" w:fill="auto"/>
            <w:vAlign w:val="center"/>
          </w:tcPr>
          <w:p w14:paraId="657A09ED" w14:textId="77777777" w:rsidR="00296153" w:rsidRPr="00370B0D" w:rsidRDefault="00296153" w:rsidP="003C0B65">
            <w:pPr>
              <w:jc w:val="left"/>
              <w:rPr>
                <w:sz w:val="20"/>
              </w:rPr>
            </w:pPr>
            <w:r>
              <w:rPr>
                <w:sz w:val="20"/>
              </w:rPr>
              <w:t>0.071</w:t>
            </w:r>
          </w:p>
        </w:tc>
      </w:tr>
    </w:tbl>
    <w:p w14:paraId="53F742A8" w14:textId="4DC30237" w:rsidR="003A49AC" w:rsidRPr="00A47D15" w:rsidRDefault="00A47D15" w:rsidP="003A49AC">
      <w:pPr>
        <w:rPr>
          <w:sz w:val="18"/>
          <w:szCs w:val="18"/>
        </w:rPr>
      </w:pPr>
      <w:r w:rsidRPr="00A47D15">
        <w:rPr>
          <w:sz w:val="18"/>
          <w:szCs w:val="18"/>
        </w:rPr>
        <w:t>No</w:t>
      </w:r>
      <w:r w:rsidR="00296153">
        <w:rPr>
          <w:sz w:val="18"/>
          <w:szCs w:val="18"/>
        </w:rPr>
        <w:t>t</w:t>
      </w:r>
      <w:r w:rsidRPr="00A47D15">
        <w:rPr>
          <w:sz w:val="18"/>
          <w:szCs w:val="18"/>
        </w:rPr>
        <w:t xml:space="preserve">es: Notes should be given in Times New Roman, </w:t>
      </w:r>
      <w:r>
        <w:rPr>
          <w:sz w:val="18"/>
          <w:szCs w:val="18"/>
        </w:rPr>
        <w:t>9</w:t>
      </w:r>
      <w:r w:rsidRPr="00A47D15">
        <w:rPr>
          <w:sz w:val="18"/>
          <w:szCs w:val="18"/>
        </w:rPr>
        <w:t>pt</w:t>
      </w:r>
    </w:p>
    <w:p w14:paraId="5DF7DB0C" w14:textId="77777777" w:rsidR="00A47D15" w:rsidRDefault="00A47D15" w:rsidP="003A49AC"/>
    <w:p w14:paraId="5777BA92" w14:textId="56C3F49F" w:rsidR="000767AC" w:rsidRDefault="00296153" w:rsidP="000767AC">
      <w:pPr>
        <w:jc w:val="center"/>
        <w:rPr>
          <w:rFonts w:cs="Book Antiqua"/>
          <w:szCs w:val="20"/>
          <w:lang w:val="en-US"/>
        </w:rPr>
      </w:pPr>
      <w:r>
        <w:rPr>
          <w:b/>
          <w:bCs/>
          <w:noProof/>
          <w:lang w:val="hr-HR" w:eastAsia="hr-HR"/>
        </w:rPr>
        <w:drawing>
          <wp:inline distT="0" distB="0" distL="0" distR="0" wp14:anchorId="368C5952" wp14:editId="7CA6ECB6">
            <wp:extent cx="4500438" cy="4500438"/>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554" cy="4505554"/>
                    </a:xfrm>
                    <a:prstGeom prst="rect">
                      <a:avLst/>
                    </a:prstGeom>
                    <a:noFill/>
                    <a:ln>
                      <a:noFill/>
                    </a:ln>
                  </pic:spPr>
                </pic:pic>
              </a:graphicData>
            </a:graphic>
          </wp:inline>
        </w:drawing>
      </w:r>
    </w:p>
    <w:p w14:paraId="5FCDAEDA" w14:textId="77777777" w:rsidR="007974A9" w:rsidRDefault="007974A9" w:rsidP="000767AC">
      <w:pPr>
        <w:pStyle w:val="Caption"/>
      </w:pPr>
    </w:p>
    <w:p w14:paraId="2B888315" w14:textId="3F0FE6D2" w:rsidR="000767AC" w:rsidRDefault="000767AC" w:rsidP="000767AC">
      <w:pPr>
        <w:pStyle w:val="Caption"/>
        <w:rPr>
          <w:b w:val="0"/>
        </w:rPr>
      </w:pPr>
      <w:r>
        <w:t xml:space="preserve">Figure </w:t>
      </w:r>
      <w:r w:rsidR="003871A3">
        <w:t>1</w:t>
      </w:r>
      <w:r>
        <w:t>.</w:t>
      </w:r>
      <w:r w:rsidRPr="00416710">
        <w:t xml:space="preserve"> </w:t>
      </w:r>
      <w:r w:rsidR="003871A3" w:rsidRPr="0083537E">
        <w:rPr>
          <w:b w:val="0"/>
        </w:rPr>
        <w:t>The caption heading for a figure should be placed below the figure, centered</w:t>
      </w:r>
      <w:r w:rsidR="003871A3">
        <w:rPr>
          <w:b w:val="0"/>
        </w:rPr>
        <w:t>.</w:t>
      </w:r>
      <w:r w:rsidR="003871A3" w:rsidRPr="000767AC">
        <w:rPr>
          <w:b w:val="0"/>
        </w:rPr>
        <w:t xml:space="preserve"> </w:t>
      </w:r>
      <w:r w:rsidRPr="000767AC">
        <w:rPr>
          <w:b w:val="0"/>
        </w:rPr>
        <w:t xml:space="preserve">All figures should be correctly positioned within your </w:t>
      </w:r>
      <w:r w:rsidR="003871A3">
        <w:rPr>
          <w:b w:val="0"/>
        </w:rPr>
        <w:t>*docx</w:t>
      </w:r>
      <w:r w:rsidRPr="000767AC">
        <w:rPr>
          <w:b w:val="0"/>
        </w:rPr>
        <w:t xml:space="preserve"> file</w:t>
      </w:r>
      <w:r w:rsidR="003871A3">
        <w:rPr>
          <w:b w:val="0"/>
        </w:rPr>
        <w:t>.</w:t>
      </w:r>
    </w:p>
    <w:p w14:paraId="772FC890" w14:textId="67341415" w:rsidR="0083537E" w:rsidRDefault="0083537E" w:rsidP="00FB1E89">
      <w:pPr>
        <w:spacing w:line="259" w:lineRule="auto"/>
        <w:rPr>
          <w:rFonts w:cs="Book Antiqua"/>
          <w:szCs w:val="20"/>
          <w:lang w:val="en-US"/>
        </w:rPr>
      </w:pPr>
    </w:p>
    <w:p w14:paraId="6E3E72ED" w14:textId="308EC899" w:rsidR="00A47D15" w:rsidRPr="001D1440" w:rsidRDefault="00A47D15" w:rsidP="00EB0A46">
      <w:pPr>
        <w:spacing w:line="259" w:lineRule="auto"/>
        <w:ind w:left="425" w:hanging="425"/>
        <w:rPr>
          <w:b/>
          <w:szCs w:val="22"/>
          <w:lang w:val="en-AU"/>
        </w:rPr>
      </w:pPr>
      <w:r w:rsidRPr="001D1440">
        <w:rPr>
          <w:b/>
          <w:szCs w:val="22"/>
          <w:lang w:val="en-AU"/>
        </w:rPr>
        <w:t xml:space="preserve">Results </w:t>
      </w:r>
    </w:p>
    <w:p w14:paraId="6A63AA1C" w14:textId="22E04447" w:rsidR="00A47D15" w:rsidRPr="00A47D15" w:rsidRDefault="00296153" w:rsidP="00FB1E89">
      <w:pPr>
        <w:spacing w:line="259" w:lineRule="auto"/>
        <w:rPr>
          <w:rFonts w:cs="Book Antiqua"/>
          <w:szCs w:val="22"/>
          <w:lang w:val="en-US"/>
        </w:rPr>
      </w:pPr>
      <w:r w:rsidRPr="00296153">
        <w:rPr>
          <w:szCs w:val="22"/>
          <w:lang w:val="en-GB"/>
        </w:rPr>
        <w:t xml:space="preserve">This section is anticipated to deliver a clear presentation of the </w:t>
      </w:r>
      <w:r>
        <w:rPr>
          <w:szCs w:val="22"/>
          <w:lang w:val="en-GB"/>
        </w:rPr>
        <w:t>results</w:t>
      </w:r>
      <w:r w:rsidRPr="00296153">
        <w:rPr>
          <w:szCs w:val="22"/>
          <w:lang w:val="en-GB"/>
        </w:rPr>
        <w:t>, emphasizing discernible trends or notable observations.</w:t>
      </w:r>
    </w:p>
    <w:p w14:paraId="70433CE1" w14:textId="77777777" w:rsidR="002E1708" w:rsidRDefault="002E1708" w:rsidP="00FB1E89">
      <w:pPr>
        <w:spacing w:line="259" w:lineRule="auto"/>
        <w:rPr>
          <w:rFonts w:cs="Book Antiqua"/>
          <w:szCs w:val="20"/>
          <w:lang w:val="en-US"/>
        </w:rPr>
      </w:pPr>
    </w:p>
    <w:p w14:paraId="52646832" w14:textId="3952E09A" w:rsidR="00A47D15" w:rsidRPr="001D1440" w:rsidRDefault="00A47D15" w:rsidP="00EB0A46">
      <w:pPr>
        <w:spacing w:line="259" w:lineRule="auto"/>
        <w:ind w:left="425" w:hanging="425"/>
        <w:rPr>
          <w:b/>
          <w:szCs w:val="22"/>
          <w:lang w:val="en-AU"/>
        </w:rPr>
      </w:pPr>
      <w:r w:rsidRPr="001D1440">
        <w:rPr>
          <w:b/>
          <w:szCs w:val="22"/>
          <w:lang w:val="en-AU"/>
        </w:rPr>
        <w:t>Conclusion</w:t>
      </w:r>
    </w:p>
    <w:p w14:paraId="1A696F16" w14:textId="501FADCB" w:rsidR="00A47D15" w:rsidRDefault="00296153" w:rsidP="00FB1E89">
      <w:pPr>
        <w:spacing w:line="259" w:lineRule="auto"/>
        <w:rPr>
          <w:rFonts w:cs="Book Antiqua"/>
          <w:szCs w:val="20"/>
          <w:lang w:val="en-US"/>
        </w:rPr>
      </w:pPr>
      <w:r w:rsidRPr="00296153">
        <w:rPr>
          <w:szCs w:val="22"/>
          <w:lang w:val="en-GB"/>
        </w:rPr>
        <w:t>This chapter is tasked with providing a concise explanation of the significance and implications inherent in the reported work.</w:t>
      </w:r>
    </w:p>
    <w:p w14:paraId="7EC9B066" w14:textId="77777777" w:rsidR="00EB0A46" w:rsidRDefault="00EB0A46" w:rsidP="001D1440">
      <w:pPr>
        <w:spacing w:after="120" w:line="259" w:lineRule="auto"/>
        <w:rPr>
          <w:rFonts w:cs="Book Antiqua"/>
          <w:b/>
          <w:szCs w:val="22"/>
          <w:lang w:val="en-US"/>
        </w:rPr>
      </w:pPr>
    </w:p>
    <w:p w14:paraId="7224AC04" w14:textId="1A8145C6" w:rsidR="00A47D15" w:rsidRPr="00EB0A46" w:rsidRDefault="00A47D15" w:rsidP="00EB0A46">
      <w:pPr>
        <w:spacing w:line="259" w:lineRule="auto"/>
        <w:rPr>
          <w:rFonts w:cs="Book Antiqua"/>
          <w:b/>
          <w:szCs w:val="22"/>
          <w:lang w:val="en-US"/>
        </w:rPr>
      </w:pPr>
      <w:r w:rsidRPr="00EB0A46">
        <w:rPr>
          <w:rFonts w:cs="Book Antiqua"/>
          <w:b/>
          <w:szCs w:val="22"/>
          <w:lang w:val="en-US"/>
        </w:rPr>
        <w:lastRenderedPageBreak/>
        <w:t>References</w:t>
      </w:r>
    </w:p>
    <w:p w14:paraId="675F222A" w14:textId="7E3B781E" w:rsidR="002E1708" w:rsidRDefault="008E7AF3" w:rsidP="002E1708">
      <w:pPr>
        <w:rPr>
          <w:lang w:val="en-US"/>
        </w:rPr>
      </w:pPr>
      <w:r w:rsidRPr="008E7AF3">
        <w:rPr>
          <w:lang w:val="en-US"/>
        </w:rPr>
        <w:t>The reference heading is to remain unnumbered. Author-utilized references are to be presented at the conclusion of the paper, without citation in footnotes. It is imperative to include all cited works in the reference list, ensuring alignment of dates and authors between the text and the reference list. References must furnish adequate details for reader retrieval (refer to formats below). All references in the paper must be cited, and the reference list should be organized alphabetically by the lead author's last name, incorporating all authors.</w:t>
      </w:r>
    </w:p>
    <w:p w14:paraId="11CC5484" w14:textId="77777777" w:rsidR="002E1708" w:rsidRDefault="002E1708" w:rsidP="002E1708">
      <w:pPr>
        <w:rPr>
          <w:lang w:val="en-US"/>
        </w:rPr>
      </w:pPr>
    </w:p>
    <w:p w14:paraId="5E2488E1" w14:textId="4BA1057E" w:rsidR="002E1708" w:rsidRPr="002E1708" w:rsidRDefault="002E1708" w:rsidP="009E40EE">
      <w:pPr>
        <w:pStyle w:val="Default"/>
        <w:spacing w:after="120"/>
        <w:rPr>
          <w:color w:val="auto"/>
          <w:sz w:val="22"/>
          <w:szCs w:val="22"/>
          <w:lang w:val="en-GB"/>
        </w:rPr>
      </w:pPr>
      <w:r w:rsidRPr="002E1708">
        <w:rPr>
          <w:b/>
          <w:bCs/>
          <w:color w:val="auto"/>
          <w:sz w:val="22"/>
          <w:szCs w:val="22"/>
          <w:lang w:val="en-GB"/>
        </w:rPr>
        <w:t xml:space="preserve">Examples of References </w:t>
      </w:r>
    </w:p>
    <w:p w14:paraId="1B7A7C43" w14:textId="63F7B3D3" w:rsidR="009E40EE" w:rsidRPr="009E40EE" w:rsidRDefault="009E40EE" w:rsidP="009E40EE">
      <w:pPr>
        <w:pStyle w:val="Default"/>
        <w:spacing w:after="60"/>
        <w:rPr>
          <w:sz w:val="22"/>
          <w:szCs w:val="22"/>
        </w:rPr>
      </w:pPr>
      <w:r w:rsidRPr="009E40EE">
        <w:rPr>
          <w:sz w:val="22"/>
          <w:szCs w:val="22"/>
        </w:rPr>
        <w:t xml:space="preserve">Barton, N. </w:t>
      </w:r>
      <w:r w:rsidRPr="009E40EE">
        <w:rPr>
          <w:i/>
          <w:iCs/>
          <w:sz w:val="22"/>
          <w:szCs w:val="22"/>
        </w:rPr>
        <w:t>Rock Quality, Seismic Velocity, Attenuation and Anisotropy</w:t>
      </w:r>
      <w:r w:rsidRPr="009E40EE">
        <w:rPr>
          <w:sz w:val="22"/>
          <w:szCs w:val="22"/>
        </w:rPr>
        <w:t>, UK &amp; Netherlands, Taylor &amp; Francis, 2006.</w:t>
      </w:r>
    </w:p>
    <w:p w14:paraId="37F28E89" w14:textId="77777777" w:rsidR="008C29E9" w:rsidRPr="0076166C" w:rsidRDefault="008C29E9" w:rsidP="008C29E9">
      <w:pPr>
        <w:pStyle w:val="Default"/>
        <w:spacing w:after="60"/>
        <w:jc w:val="both"/>
        <w:rPr>
          <w:sz w:val="22"/>
          <w:szCs w:val="22"/>
        </w:rPr>
      </w:pPr>
      <w:r w:rsidRPr="0076166C">
        <w:rPr>
          <w:sz w:val="22"/>
          <w:szCs w:val="22"/>
        </w:rPr>
        <w:t>DINOloket (Data en Informatie van de Nederlandse Ondergrond Hoofdnavigatie). Available online: </w:t>
      </w:r>
      <w:hyperlink r:id="rId9" w:tgtFrame="_blank" w:history="1">
        <w:r w:rsidRPr="0076166C">
          <w:rPr>
            <w:rStyle w:val="Hyperlink"/>
            <w:sz w:val="22"/>
            <w:szCs w:val="22"/>
          </w:rPr>
          <w:t>www.dinoloket.nl</w:t>
        </w:r>
      </w:hyperlink>
      <w:r w:rsidRPr="0076166C">
        <w:rPr>
          <w:sz w:val="22"/>
          <w:szCs w:val="22"/>
        </w:rPr>
        <w:t> (accessed on 28 December 2021).</w:t>
      </w:r>
    </w:p>
    <w:p w14:paraId="43CC01CF" w14:textId="62F317D5" w:rsidR="008C29E9" w:rsidRPr="008C29E9" w:rsidRDefault="008C29E9" w:rsidP="008C29E9">
      <w:pPr>
        <w:pStyle w:val="Default"/>
        <w:spacing w:after="60"/>
        <w:jc w:val="both"/>
        <w:rPr>
          <w:color w:val="auto"/>
          <w:sz w:val="22"/>
          <w:szCs w:val="22"/>
          <w:lang w:val="nl-BE"/>
        </w:rPr>
      </w:pPr>
      <w:r w:rsidRPr="009E40EE">
        <w:rPr>
          <w:sz w:val="22"/>
          <w:szCs w:val="22"/>
        </w:rPr>
        <w:t xml:space="preserve">Goodman, R. E.; Shi, G. </w:t>
      </w:r>
      <w:r w:rsidRPr="009E40EE">
        <w:rPr>
          <w:i/>
          <w:iCs/>
          <w:sz w:val="22"/>
          <w:szCs w:val="22"/>
        </w:rPr>
        <w:t>Block Theory and Its Application to Rock Engineering</w:t>
      </w:r>
      <w:r w:rsidRPr="009E40EE">
        <w:rPr>
          <w:sz w:val="22"/>
          <w:szCs w:val="22"/>
        </w:rPr>
        <w:t xml:space="preserve">, New Jersey, Prentice </w:t>
      </w:r>
      <w:r w:rsidRPr="008C29E9">
        <w:rPr>
          <w:sz w:val="22"/>
          <w:szCs w:val="22"/>
        </w:rPr>
        <w:t>Hall</w:t>
      </w:r>
      <w:r w:rsidR="009E40EE">
        <w:rPr>
          <w:sz w:val="22"/>
          <w:szCs w:val="22"/>
        </w:rPr>
        <w:t>, 1985.</w:t>
      </w:r>
    </w:p>
    <w:p w14:paraId="6D4FA5D9" w14:textId="18566766" w:rsidR="008C29E9" w:rsidRDefault="008C29E9" w:rsidP="008C29E9">
      <w:pPr>
        <w:pStyle w:val="Default"/>
        <w:spacing w:after="60"/>
        <w:jc w:val="both"/>
        <w:rPr>
          <w:color w:val="auto"/>
          <w:sz w:val="22"/>
          <w:szCs w:val="22"/>
          <w:lang w:val="nl-BE"/>
        </w:rPr>
      </w:pPr>
      <w:r w:rsidRPr="008C29E9">
        <w:rPr>
          <w:color w:val="auto"/>
          <w:sz w:val="22"/>
          <w:szCs w:val="22"/>
          <w:lang w:val="nl-BE"/>
        </w:rPr>
        <w:t>Hoek, E.</w:t>
      </w:r>
      <w:r>
        <w:rPr>
          <w:color w:val="auto"/>
          <w:sz w:val="22"/>
          <w:szCs w:val="22"/>
          <w:lang w:val="nl-BE"/>
        </w:rPr>
        <w:t>;</w:t>
      </w:r>
      <w:r w:rsidRPr="008C29E9">
        <w:rPr>
          <w:color w:val="auto"/>
          <w:sz w:val="22"/>
          <w:szCs w:val="22"/>
          <w:lang w:val="nl-BE"/>
        </w:rPr>
        <w:t xml:space="preserve"> Marinos, P. A brief history of the development of the Hoek-Brown failure criterion</w:t>
      </w:r>
      <w:r>
        <w:rPr>
          <w:color w:val="auto"/>
          <w:sz w:val="22"/>
          <w:szCs w:val="22"/>
          <w:lang w:val="nl-BE"/>
        </w:rPr>
        <w:t>.</w:t>
      </w:r>
      <w:r w:rsidRPr="008C29E9">
        <w:rPr>
          <w:color w:val="auto"/>
          <w:sz w:val="22"/>
          <w:szCs w:val="22"/>
          <w:lang w:val="nl-BE"/>
        </w:rPr>
        <w:t xml:space="preserve"> </w:t>
      </w:r>
      <w:r w:rsidRPr="008C29E9">
        <w:rPr>
          <w:i/>
          <w:iCs/>
          <w:color w:val="auto"/>
          <w:sz w:val="22"/>
          <w:szCs w:val="22"/>
          <w:lang w:val="nl-BE"/>
        </w:rPr>
        <w:t>Soils and Rocks</w:t>
      </w:r>
      <w:r>
        <w:rPr>
          <w:i/>
          <w:iCs/>
          <w:color w:val="auto"/>
          <w:sz w:val="22"/>
          <w:szCs w:val="22"/>
          <w:lang w:val="nl-BE"/>
        </w:rPr>
        <w:t>.</w:t>
      </w:r>
      <w:r w:rsidRPr="008C29E9">
        <w:rPr>
          <w:color w:val="auto"/>
          <w:sz w:val="22"/>
          <w:szCs w:val="22"/>
          <w:lang w:val="nl-BE"/>
        </w:rPr>
        <w:t xml:space="preserve"> 2007</w:t>
      </w:r>
      <w:r>
        <w:rPr>
          <w:color w:val="auto"/>
          <w:sz w:val="22"/>
          <w:szCs w:val="22"/>
          <w:lang w:val="nl-BE"/>
        </w:rPr>
        <w:t>,</w:t>
      </w:r>
      <w:r w:rsidRPr="008C29E9">
        <w:rPr>
          <w:color w:val="auto"/>
          <w:sz w:val="22"/>
          <w:szCs w:val="22"/>
          <w:lang w:val="nl-BE"/>
        </w:rPr>
        <w:t xml:space="preserve"> 30, 85</w:t>
      </w:r>
      <w:r w:rsidRPr="0076166C">
        <w:rPr>
          <w:color w:val="auto"/>
          <w:sz w:val="22"/>
          <w:szCs w:val="22"/>
          <w:lang w:val="nl-BE"/>
        </w:rPr>
        <w:t>–</w:t>
      </w:r>
      <w:r w:rsidRPr="008C29E9">
        <w:rPr>
          <w:color w:val="auto"/>
          <w:sz w:val="22"/>
          <w:szCs w:val="22"/>
          <w:lang w:val="nl-BE"/>
        </w:rPr>
        <w:t>92.</w:t>
      </w:r>
    </w:p>
    <w:p w14:paraId="108BA007" w14:textId="5786E6C3" w:rsidR="008C29E9" w:rsidRDefault="008C29E9" w:rsidP="008C29E9">
      <w:pPr>
        <w:pStyle w:val="Default"/>
        <w:spacing w:after="60"/>
        <w:jc w:val="both"/>
        <w:rPr>
          <w:color w:val="auto"/>
          <w:sz w:val="22"/>
          <w:szCs w:val="22"/>
          <w:lang w:val="en-GB"/>
        </w:rPr>
      </w:pPr>
      <w:r w:rsidRPr="0076166C">
        <w:rPr>
          <w:color w:val="auto"/>
          <w:sz w:val="22"/>
          <w:szCs w:val="22"/>
          <w:lang w:val="nl-BE"/>
        </w:rPr>
        <w:t xml:space="preserve">Karim, R. </w:t>
      </w:r>
      <w:r w:rsidRPr="0076166C">
        <w:rPr>
          <w:i/>
          <w:iCs/>
          <w:color w:val="auto"/>
          <w:sz w:val="22"/>
          <w:szCs w:val="22"/>
          <w:lang w:val="nl-BE"/>
        </w:rPr>
        <w:t>Modeling the Long Term Behavior of Soft Soils</w:t>
      </w:r>
      <w:r w:rsidRPr="0076166C">
        <w:rPr>
          <w:color w:val="auto"/>
          <w:sz w:val="22"/>
          <w:szCs w:val="22"/>
          <w:lang w:val="nl-BE"/>
        </w:rPr>
        <w:t>. Ph.D. Thesis, University of New South Wales, Canberra, Australia, 2011.</w:t>
      </w:r>
    </w:p>
    <w:p w14:paraId="7B5C89B0" w14:textId="5DDFD82F" w:rsidR="008C29E9" w:rsidRDefault="008C29E9" w:rsidP="008C29E9">
      <w:pPr>
        <w:pStyle w:val="Default"/>
        <w:spacing w:after="60"/>
        <w:rPr>
          <w:color w:val="auto"/>
          <w:sz w:val="22"/>
          <w:szCs w:val="22"/>
          <w:lang w:val="en-GB"/>
        </w:rPr>
      </w:pPr>
      <w:r w:rsidRPr="0076166C">
        <w:rPr>
          <w:color w:val="auto"/>
          <w:sz w:val="22"/>
          <w:szCs w:val="22"/>
          <w:lang w:val="nl-BE"/>
        </w:rPr>
        <w:t>Kova</w:t>
      </w:r>
      <w:r>
        <w:rPr>
          <w:color w:val="auto"/>
          <w:sz w:val="22"/>
          <w:szCs w:val="22"/>
          <w:lang w:val="nl-BE"/>
        </w:rPr>
        <w:t>c</w:t>
      </w:r>
      <w:r w:rsidRPr="0076166C">
        <w:rPr>
          <w:color w:val="auto"/>
          <w:sz w:val="22"/>
          <w:szCs w:val="22"/>
          <w:lang w:val="nl-BE"/>
        </w:rPr>
        <w:t>evi</w:t>
      </w:r>
      <w:r>
        <w:rPr>
          <w:color w:val="auto"/>
          <w:sz w:val="22"/>
          <w:szCs w:val="22"/>
          <w:lang w:val="nl-BE"/>
        </w:rPr>
        <w:t>c</w:t>
      </w:r>
      <w:r w:rsidRPr="0076166C">
        <w:rPr>
          <w:color w:val="auto"/>
          <w:sz w:val="22"/>
          <w:szCs w:val="22"/>
          <w:lang w:val="nl-BE"/>
        </w:rPr>
        <w:t>, M.S.</w:t>
      </w:r>
      <w:r>
        <w:rPr>
          <w:color w:val="auto"/>
          <w:sz w:val="22"/>
          <w:szCs w:val="22"/>
          <w:lang w:val="nl-BE"/>
        </w:rPr>
        <w:t>;</w:t>
      </w:r>
      <w:r w:rsidRPr="0076166C">
        <w:rPr>
          <w:color w:val="auto"/>
          <w:sz w:val="22"/>
          <w:szCs w:val="22"/>
          <w:lang w:val="nl-BE"/>
        </w:rPr>
        <w:t xml:space="preserve"> Ba</w:t>
      </w:r>
      <w:r>
        <w:rPr>
          <w:color w:val="auto"/>
          <w:sz w:val="22"/>
          <w:szCs w:val="22"/>
          <w:lang w:val="nl-BE"/>
        </w:rPr>
        <w:t>c</w:t>
      </w:r>
      <w:r w:rsidRPr="0076166C">
        <w:rPr>
          <w:color w:val="auto"/>
          <w:sz w:val="22"/>
          <w:szCs w:val="22"/>
          <w:lang w:val="nl-BE"/>
        </w:rPr>
        <w:t>i</w:t>
      </w:r>
      <w:r>
        <w:rPr>
          <w:color w:val="auto"/>
          <w:sz w:val="22"/>
          <w:szCs w:val="22"/>
          <w:lang w:val="nl-BE"/>
        </w:rPr>
        <w:t>c</w:t>
      </w:r>
      <w:r w:rsidRPr="0076166C">
        <w:rPr>
          <w:color w:val="auto"/>
          <w:sz w:val="22"/>
          <w:szCs w:val="22"/>
          <w:lang w:val="nl-BE"/>
        </w:rPr>
        <w:t>, M.; Gavin, K. Application of neural networks for the reliability design of a tunnel in karst rock mass. </w:t>
      </w:r>
      <w:r w:rsidRPr="0076166C">
        <w:rPr>
          <w:i/>
          <w:iCs/>
          <w:color w:val="auto"/>
          <w:sz w:val="22"/>
          <w:szCs w:val="22"/>
          <w:lang w:val="nl-BE"/>
        </w:rPr>
        <w:t>Can</w:t>
      </w:r>
      <w:r>
        <w:rPr>
          <w:i/>
          <w:iCs/>
          <w:color w:val="auto"/>
          <w:sz w:val="22"/>
          <w:szCs w:val="22"/>
          <w:lang w:val="nl-BE"/>
        </w:rPr>
        <w:t>adian</w:t>
      </w:r>
      <w:r w:rsidRPr="0076166C">
        <w:rPr>
          <w:i/>
          <w:iCs/>
          <w:color w:val="auto"/>
          <w:sz w:val="22"/>
          <w:szCs w:val="22"/>
          <w:lang w:val="nl-BE"/>
        </w:rPr>
        <w:t xml:space="preserve"> Geotech</w:t>
      </w:r>
      <w:r>
        <w:rPr>
          <w:i/>
          <w:iCs/>
          <w:color w:val="auto"/>
          <w:sz w:val="22"/>
          <w:szCs w:val="22"/>
          <w:lang w:val="nl-BE"/>
        </w:rPr>
        <w:t>nical</w:t>
      </w:r>
      <w:r w:rsidRPr="0076166C">
        <w:rPr>
          <w:i/>
          <w:iCs/>
          <w:color w:val="auto"/>
          <w:sz w:val="22"/>
          <w:szCs w:val="22"/>
          <w:lang w:val="nl-BE"/>
        </w:rPr>
        <w:t xml:space="preserve"> J</w:t>
      </w:r>
      <w:r>
        <w:rPr>
          <w:i/>
          <w:iCs/>
          <w:color w:val="auto"/>
          <w:sz w:val="22"/>
          <w:szCs w:val="22"/>
          <w:lang w:val="nl-BE"/>
        </w:rPr>
        <w:t>ournal</w:t>
      </w:r>
      <w:r w:rsidRPr="0076166C">
        <w:rPr>
          <w:i/>
          <w:iCs/>
          <w:color w:val="auto"/>
          <w:sz w:val="22"/>
          <w:szCs w:val="22"/>
          <w:lang w:val="nl-BE"/>
        </w:rPr>
        <w:t>.</w:t>
      </w:r>
      <w:r w:rsidRPr="0076166C">
        <w:rPr>
          <w:color w:val="auto"/>
          <w:sz w:val="22"/>
          <w:szCs w:val="22"/>
          <w:lang w:val="nl-BE"/>
        </w:rPr>
        <w:t> 2021</w:t>
      </w:r>
      <w:r w:rsidRPr="008C29E9">
        <w:rPr>
          <w:color w:val="auto"/>
          <w:sz w:val="22"/>
          <w:szCs w:val="22"/>
          <w:lang w:val="nl-BE"/>
        </w:rPr>
        <w:t>, 58,</w:t>
      </w:r>
      <w:r w:rsidRPr="0076166C">
        <w:rPr>
          <w:color w:val="auto"/>
          <w:sz w:val="22"/>
          <w:szCs w:val="22"/>
          <w:lang w:val="nl-BE"/>
        </w:rPr>
        <w:t xml:space="preserve"> 455–467.</w:t>
      </w:r>
    </w:p>
    <w:p w14:paraId="32B7BB7C" w14:textId="363F24DF" w:rsidR="008C29E9" w:rsidRDefault="008C29E9" w:rsidP="008C29E9">
      <w:pPr>
        <w:pStyle w:val="Default"/>
        <w:spacing w:after="60"/>
        <w:rPr>
          <w:color w:val="auto"/>
          <w:sz w:val="22"/>
          <w:szCs w:val="22"/>
          <w:lang w:val="nl-BE"/>
        </w:rPr>
      </w:pPr>
      <w:r w:rsidRPr="0076166C">
        <w:rPr>
          <w:color w:val="auto"/>
          <w:sz w:val="22"/>
          <w:szCs w:val="22"/>
          <w:lang w:val="nl-BE"/>
        </w:rPr>
        <w:t>Reale, C.; Gavin, K.; Libri</w:t>
      </w:r>
      <w:r>
        <w:rPr>
          <w:color w:val="auto"/>
          <w:sz w:val="22"/>
          <w:szCs w:val="22"/>
          <w:lang w:val="nl-BE"/>
        </w:rPr>
        <w:t>c</w:t>
      </w:r>
      <w:r w:rsidRPr="0076166C">
        <w:rPr>
          <w:color w:val="auto"/>
          <w:sz w:val="22"/>
          <w:szCs w:val="22"/>
          <w:lang w:val="nl-BE"/>
        </w:rPr>
        <w:t>, L.; Juri</w:t>
      </w:r>
      <w:r>
        <w:rPr>
          <w:color w:val="auto"/>
          <w:sz w:val="22"/>
          <w:szCs w:val="22"/>
          <w:lang w:val="nl-BE"/>
        </w:rPr>
        <w:t>c</w:t>
      </w:r>
      <w:r w:rsidRPr="0076166C">
        <w:rPr>
          <w:color w:val="auto"/>
          <w:sz w:val="22"/>
          <w:szCs w:val="22"/>
          <w:lang w:val="nl-BE"/>
        </w:rPr>
        <w:t>-Ka</w:t>
      </w:r>
      <w:r>
        <w:rPr>
          <w:color w:val="auto"/>
          <w:sz w:val="22"/>
          <w:szCs w:val="22"/>
          <w:lang w:val="nl-BE"/>
        </w:rPr>
        <w:t>c</w:t>
      </w:r>
      <w:r w:rsidRPr="0076166C">
        <w:rPr>
          <w:color w:val="auto"/>
          <w:sz w:val="22"/>
          <w:szCs w:val="22"/>
          <w:lang w:val="nl-BE"/>
        </w:rPr>
        <w:t>uni</w:t>
      </w:r>
      <w:r>
        <w:rPr>
          <w:color w:val="auto"/>
          <w:sz w:val="22"/>
          <w:szCs w:val="22"/>
          <w:lang w:val="nl-BE"/>
        </w:rPr>
        <w:t>c</w:t>
      </w:r>
      <w:r w:rsidRPr="0076166C">
        <w:rPr>
          <w:color w:val="auto"/>
          <w:sz w:val="22"/>
          <w:szCs w:val="22"/>
          <w:lang w:val="nl-BE"/>
        </w:rPr>
        <w:t>, D. Automatic classification of fine-grained soils using CPT measurements and Artificial Neural Networks. </w:t>
      </w:r>
      <w:r w:rsidRPr="0076166C">
        <w:rPr>
          <w:i/>
          <w:iCs/>
          <w:color w:val="auto"/>
          <w:sz w:val="22"/>
          <w:szCs w:val="22"/>
          <w:lang w:val="nl-BE"/>
        </w:rPr>
        <w:t>Advanced Engineering Informatics</w:t>
      </w:r>
      <w:r>
        <w:rPr>
          <w:i/>
          <w:iCs/>
          <w:color w:val="auto"/>
          <w:sz w:val="22"/>
          <w:szCs w:val="22"/>
          <w:lang w:val="nl-BE"/>
        </w:rPr>
        <w:t>.</w:t>
      </w:r>
      <w:r w:rsidRPr="0076166C">
        <w:rPr>
          <w:color w:val="auto"/>
          <w:sz w:val="22"/>
          <w:szCs w:val="22"/>
          <w:lang w:val="nl-BE"/>
        </w:rPr>
        <w:t> 2018, 36, 207–215. </w:t>
      </w:r>
    </w:p>
    <w:p w14:paraId="17074B51" w14:textId="076E4CAC" w:rsidR="0076166C" w:rsidRDefault="0076166C" w:rsidP="008C29E9">
      <w:pPr>
        <w:pStyle w:val="Default"/>
        <w:spacing w:after="60"/>
        <w:jc w:val="both"/>
        <w:rPr>
          <w:color w:val="auto"/>
          <w:sz w:val="22"/>
          <w:szCs w:val="22"/>
          <w:lang w:val="en-GB"/>
        </w:rPr>
      </w:pPr>
      <w:r w:rsidRPr="0076166C">
        <w:rPr>
          <w:color w:val="auto"/>
          <w:sz w:val="22"/>
          <w:szCs w:val="22"/>
          <w:lang w:val="nl-BE"/>
        </w:rPr>
        <w:t>Vermeer, P.A.; Neher, H.P. A soft soil model that accounts for creep</w:t>
      </w:r>
      <w:r w:rsidRPr="0076166C">
        <w:rPr>
          <w:i/>
          <w:iCs/>
          <w:color w:val="auto"/>
          <w:sz w:val="22"/>
          <w:szCs w:val="22"/>
          <w:lang w:val="nl-BE"/>
        </w:rPr>
        <w:t>. In Proceedings of the International Symposium on Beyond 2000 in Computational Geotechnics</w:t>
      </w:r>
      <w:r w:rsidRPr="0076166C">
        <w:rPr>
          <w:color w:val="auto"/>
          <w:sz w:val="22"/>
          <w:szCs w:val="22"/>
          <w:lang w:val="nl-BE"/>
        </w:rPr>
        <w:t>, Amsterdam, The Netherlands, 18–20 March 1999; CRC Press: Amsterdam, The Netherlands, 1999</w:t>
      </w:r>
    </w:p>
    <w:p w14:paraId="70C3F69F" w14:textId="77777777" w:rsidR="0076166C" w:rsidRDefault="0076166C" w:rsidP="002E1708">
      <w:pPr>
        <w:pStyle w:val="Default"/>
        <w:rPr>
          <w:color w:val="auto"/>
          <w:sz w:val="22"/>
          <w:szCs w:val="22"/>
          <w:lang w:val="en-GB"/>
        </w:rPr>
      </w:pPr>
    </w:p>
    <w:p w14:paraId="7BAC7AE8" w14:textId="77777777" w:rsidR="009E40EE" w:rsidRDefault="009E40EE" w:rsidP="002E1708">
      <w:pPr>
        <w:pStyle w:val="Default"/>
        <w:rPr>
          <w:color w:val="auto"/>
          <w:sz w:val="22"/>
          <w:szCs w:val="22"/>
          <w:lang w:val="en-GB"/>
        </w:rPr>
      </w:pPr>
    </w:p>
    <w:sectPr w:rsidR="009E40EE" w:rsidSect="00273B89">
      <w:headerReference w:type="default" r:id="rId10"/>
      <w:footerReference w:type="default" r:id="rId11"/>
      <w:pgSz w:w="11906" w:h="16838" w:code="9"/>
      <w:pgMar w:top="1418" w:right="1418" w:bottom="1418" w:left="1418" w:header="62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9078" w14:textId="77777777" w:rsidR="00273B89" w:rsidRDefault="00273B89" w:rsidP="00723408">
      <w:r>
        <w:separator/>
      </w:r>
    </w:p>
    <w:p w14:paraId="75ED1CF7" w14:textId="77777777" w:rsidR="00273B89" w:rsidRDefault="00273B89"/>
    <w:p w14:paraId="247D139D" w14:textId="77777777" w:rsidR="00273B89" w:rsidRDefault="00273B89"/>
  </w:endnote>
  <w:endnote w:type="continuationSeparator" w:id="0">
    <w:p w14:paraId="02DE27BB" w14:textId="77777777" w:rsidR="00273B89" w:rsidRDefault="00273B89" w:rsidP="00723408">
      <w:r>
        <w:continuationSeparator/>
      </w:r>
    </w:p>
    <w:p w14:paraId="1FA6E084" w14:textId="77777777" w:rsidR="00273B89" w:rsidRDefault="00273B89"/>
    <w:p w14:paraId="5FFFE88B" w14:textId="77777777" w:rsidR="00273B89" w:rsidRDefault="00273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985"/>
      <w:docPartObj>
        <w:docPartGallery w:val="Page Numbers (Bottom of Page)"/>
        <w:docPartUnique/>
      </w:docPartObj>
    </w:sdtPr>
    <w:sdtEndPr>
      <w:rPr>
        <w:rStyle w:val="HeaderChar"/>
        <w:i/>
        <w:sz w:val="18"/>
        <w:lang w:val="en-GB"/>
      </w:rPr>
    </w:sdtEndPr>
    <w:sdtContent>
      <w:p w14:paraId="253E641A" w14:textId="77777777" w:rsidR="00283279" w:rsidRDefault="00830653">
        <w:pPr>
          <w:pStyle w:val="Footer"/>
          <w:jc w:val="right"/>
        </w:pPr>
        <w:r w:rsidRPr="00BB72C3">
          <w:rPr>
            <w:rStyle w:val="HeaderChar"/>
            <w:i w:val="0"/>
            <w:sz w:val="20"/>
          </w:rPr>
          <w:fldChar w:fldCharType="begin"/>
        </w:r>
        <w:r w:rsidRPr="00BB72C3">
          <w:rPr>
            <w:rStyle w:val="HeaderChar"/>
            <w:i w:val="0"/>
            <w:sz w:val="20"/>
          </w:rPr>
          <w:instrText xml:space="preserve"> PAGE   \* MERGEFORMAT </w:instrText>
        </w:r>
        <w:r w:rsidRPr="00BB72C3">
          <w:rPr>
            <w:rStyle w:val="HeaderChar"/>
            <w:i w:val="0"/>
            <w:sz w:val="20"/>
          </w:rPr>
          <w:fldChar w:fldCharType="separate"/>
        </w:r>
        <w:r w:rsidR="00817E9F">
          <w:rPr>
            <w:rStyle w:val="HeaderChar"/>
            <w:i w:val="0"/>
            <w:noProof/>
            <w:sz w:val="20"/>
          </w:rPr>
          <w:t>1</w:t>
        </w:r>
        <w:r w:rsidRPr="00BB72C3">
          <w:rPr>
            <w:rStyle w:val="HeaderChar"/>
            <w:i w:val="0"/>
            <w:sz w:val="20"/>
          </w:rPr>
          <w:fldChar w:fldCharType="end"/>
        </w:r>
      </w:p>
    </w:sdtContent>
  </w:sdt>
  <w:p w14:paraId="6592FCD7" w14:textId="77777777" w:rsidR="006D1A51" w:rsidRDefault="006D1A51"/>
  <w:p w14:paraId="52FABFEC" w14:textId="77777777" w:rsidR="00E81586" w:rsidRDefault="00E81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8709" w14:textId="77777777" w:rsidR="00273B89" w:rsidRDefault="00273B89" w:rsidP="00723408">
      <w:r>
        <w:separator/>
      </w:r>
    </w:p>
    <w:p w14:paraId="50FD32A5" w14:textId="77777777" w:rsidR="00273B89" w:rsidRDefault="00273B89"/>
    <w:p w14:paraId="1C8CBDA2" w14:textId="77777777" w:rsidR="00273B89" w:rsidRDefault="00273B89"/>
  </w:footnote>
  <w:footnote w:type="continuationSeparator" w:id="0">
    <w:p w14:paraId="4C1D6320" w14:textId="77777777" w:rsidR="00273B89" w:rsidRDefault="00273B89" w:rsidP="00723408">
      <w:r>
        <w:continuationSeparator/>
      </w:r>
    </w:p>
    <w:p w14:paraId="1E70901A" w14:textId="77777777" w:rsidR="00273B89" w:rsidRDefault="00273B89"/>
    <w:p w14:paraId="5F55083D" w14:textId="77777777" w:rsidR="00273B89" w:rsidRDefault="00273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05DA" w14:textId="77777777" w:rsidR="00947EB6" w:rsidRPr="00947EB6" w:rsidRDefault="00947EB6">
    <w:pPr>
      <w:rPr>
        <w:sz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14:paraId="019D5F6A" w14:textId="77777777" w:rsidTr="00947EB6">
      <w:tc>
        <w:tcPr>
          <w:tcW w:w="2694" w:type="dxa"/>
          <w:vAlign w:val="center"/>
        </w:tcPr>
        <w:p w14:paraId="6F033C68" w14:textId="6118C813" w:rsidR="00947EB6" w:rsidRPr="00947EB6" w:rsidRDefault="00305046" w:rsidP="00947EB6">
          <w:pPr>
            <w:pStyle w:val="Header"/>
          </w:pPr>
          <w:r>
            <w:t>EUROENGEO</w:t>
          </w:r>
          <w:r w:rsidR="00E71EEF">
            <w:t xml:space="preserve"> </w:t>
          </w:r>
          <w:r w:rsidR="00F670EC">
            <w:t>2024</w:t>
          </w:r>
        </w:p>
      </w:tc>
      <w:tc>
        <w:tcPr>
          <w:tcW w:w="6368" w:type="dxa"/>
        </w:tcPr>
        <w:p w14:paraId="6A31552C" w14:textId="14C619D7" w:rsidR="00947EB6" w:rsidRPr="00947EB6" w:rsidRDefault="009922EE" w:rsidP="00947EB6">
          <w:pPr>
            <w:pStyle w:val="Header"/>
            <w:jc w:val="right"/>
          </w:pPr>
          <w:r w:rsidRPr="009922EE">
            <w:t>4th European Regional Conference of IAEG</w:t>
          </w:r>
        </w:p>
      </w:tc>
    </w:tr>
  </w:tbl>
  <w:p w14:paraId="0D62249A" w14:textId="77777777" w:rsidR="006D1A51" w:rsidRPr="00947EB6" w:rsidRDefault="006D1A51">
    <w:pPr>
      <w:rPr>
        <w:sz w:val="12"/>
      </w:rPr>
    </w:pPr>
  </w:p>
  <w:p w14:paraId="0922D92E" w14:textId="77777777" w:rsidR="00E81586" w:rsidRDefault="00E81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95E5B9D"/>
    <w:multiLevelType w:val="multilevel"/>
    <w:tmpl w:val="C084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F6545B9"/>
    <w:multiLevelType w:val="hybridMultilevel"/>
    <w:tmpl w:val="FDAA12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BF62F2C"/>
    <w:multiLevelType w:val="hybridMultilevel"/>
    <w:tmpl w:val="E3360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CD7E32"/>
    <w:multiLevelType w:val="multilevel"/>
    <w:tmpl w:val="041A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71786748">
    <w:abstractNumId w:val="8"/>
  </w:num>
  <w:num w:numId="2" w16cid:durableId="487786568">
    <w:abstractNumId w:val="11"/>
  </w:num>
  <w:num w:numId="3" w16cid:durableId="1159227694">
    <w:abstractNumId w:val="13"/>
  </w:num>
  <w:num w:numId="4" w16cid:durableId="1395540056">
    <w:abstractNumId w:val="16"/>
  </w:num>
  <w:num w:numId="5" w16cid:durableId="2004310067">
    <w:abstractNumId w:val="5"/>
  </w:num>
  <w:num w:numId="6" w16cid:durableId="336537451">
    <w:abstractNumId w:val="3"/>
  </w:num>
  <w:num w:numId="7" w16cid:durableId="1574580305">
    <w:abstractNumId w:val="7"/>
  </w:num>
  <w:num w:numId="8" w16cid:durableId="110437330">
    <w:abstractNumId w:val="12"/>
  </w:num>
  <w:num w:numId="9" w16cid:durableId="1945071995">
    <w:abstractNumId w:val="0"/>
  </w:num>
  <w:num w:numId="10" w16cid:durableId="1487476762">
    <w:abstractNumId w:val="1"/>
  </w:num>
  <w:num w:numId="11" w16cid:durableId="1771467669">
    <w:abstractNumId w:val="6"/>
  </w:num>
  <w:num w:numId="12" w16cid:durableId="1335765447">
    <w:abstractNumId w:val="15"/>
  </w:num>
  <w:num w:numId="13" w16cid:durableId="175388680">
    <w:abstractNumId w:val="10"/>
  </w:num>
  <w:num w:numId="14" w16cid:durableId="568999120">
    <w:abstractNumId w:val="4"/>
  </w:num>
  <w:num w:numId="15" w16cid:durableId="1402144709">
    <w:abstractNumId w:val="17"/>
  </w:num>
  <w:num w:numId="16" w16cid:durableId="608661424">
    <w:abstractNumId w:val="14"/>
  </w:num>
  <w:num w:numId="17" w16cid:durableId="1830898470">
    <w:abstractNumId w:val="9"/>
  </w:num>
  <w:num w:numId="18" w16cid:durableId="9479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6F"/>
    <w:rsid w:val="00003069"/>
    <w:rsid w:val="000131C8"/>
    <w:rsid w:val="00014541"/>
    <w:rsid w:val="0001550B"/>
    <w:rsid w:val="00015D32"/>
    <w:rsid w:val="00020839"/>
    <w:rsid w:val="0002103C"/>
    <w:rsid w:val="00023182"/>
    <w:rsid w:val="000272E9"/>
    <w:rsid w:val="00030F5E"/>
    <w:rsid w:val="000340C1"/>
    <w:rsid w:val="0004044C"/>
    <w:rsid w:val="00041861"/>
    <w:rsid w:val="00045869"/>
    <w:rsid w:val="00060898"/>
    <w:rsid w:val="00062D2B"/>
    <w:rsid w:val="00063F85"/>
    <w:rsid w:val="0007080B"/>
    <w:rsid w:val="0007141F"/>
    <w:rsid w:val="0007318B"/>
    <w:rsid w:val="000767AC"/>
    <w:rsid w:val="00082265"/>
    <w:rsid w:val="00083DC5"/>
    <w:rsid w:val="0009338E"/>
    <w:rsid w:val="000940DC"/>
    <w:rsid w:val="00097AFC"/>
    <w:rsid w:val="000A0937"/>
    <w:rsid w:val="000A60F0"/>
    <w:rsid w:val="000A69B8"/>
    <w:rsid w:val="000B4835"/>
    <w:rsid w:val="000B7C8A"/>
    <w:rsid w:val="000C389C"/>
    <w:rsid w:val="000C6006"/>
    <w:rsid w:val="000D242D"/>
    <w:rsid w:val="000E1F7C"/>
    <w:rsid w:val="000E3DFC"/>
    <w:rsid w:val="000E43B2"/>
    <w:rsid w:val="000E4B2D"/>
    <w:rsid w:val="000E540F"/>
    <w:rsid w:val="000E6612"/>
    <w:rsid w:val="000F231E"/>
    <w:rsid w:val="00102269"/>
    <w:rsid w:val="00102C83"/>
    <w:rsid w:val="001050D2"/>
    <w:rsid w:val="00111A19"/>
    <w:rsid w:val="001137D5"/>
    <w:rsid w:val="0011618F"/>
    <w:rsid w:val="001163A8"/>
    <w:rsid w:val="0011773F"/>
    <w:rsid w:val="00122CB2"/>
    <w:rsid w:val="00130FBE"/>
    <w:rsid w:val="0013244C"/>
    <w:rsid w:val="001328DB"/>
    <w:rsid w:val="001336F5"/>
    <w:rsid w:val="00135461"/>
    <w:rsid w:val="00141806"/>
    <w:rsid w:val="00145768"/>
    <w:rsid w:val="001468D5"/>
    <w:rsid w:val="00151A18"/>
    <w:rsid w:val="00152314"/>
    <w:rsid w:val="00152B35"/>
    <w:rsid w:val="001557BB"/>
    <w:rsid w:val="00157DBF"/>
    <w:rsid w:val="0016337D"/>
    <w:rsid w:val="00163F9E"/>
    <w:rsid w:val="00177B22"/>
    <w:rsid w:val="001827D8"/>
    <w:rsid w:val="00187F73"/>
    <w:rsid w:val="001974F3"/>
    <w:rsid w:val="001A2191"/>
    <w:rsid w:val="001B381C"/>
    <w:rsid w:val="001B3E4C"/>
    <w:rsid w:val="001C0BA3"/>
    <w:rsid w:val="001C3826"/>
    <w:rsid w:val="001C6B8A"/>
    <w:rsid w:val="001D1440"/>
    <w:rsid w:val="001D3252"/>
    <w:rsid w:val="001E1C1B"/>
    <w:rsid w:val="001E5D1A"/>
    <w:rsid w:val="001F0FC6"/>
    <w:rsid w:val="001F59E3"/>
    <w:rsid w:val="00203A27"/>
    <w:rsid w:val="0020788A"/>
    <w:rsid w:val="00221A9B"/>
    <w:rsid w:val="0022226F"/>
    <w:rsid w:val="0023140C"/>
    <w:rsid w:val="00233359"/>
    <w:rsid w:val="00237D84"/>
    <w:rsid w:val="00252678"/>
    <w:rsid w:val="00266458"/>
    <w:rsid w:val="00271054"/>
    <w:rsid w:val="00273B89"/>
    <w:rsid w:val="0027492E"/>
    <w:rsid w:val="00277096"/>
    <w:rsid w:val="00283279"/>
    <w:rsid w:val="00285416"/>
    <w:rsid w:val="00285E2F"/>
    <w:rsid w:val="002934AD"/>
    <w:rsid w:val="00294DE8"/>
    <w:rsid w:val="002959D9"/>
    <w:rsid w:val="00296153"/>
    <w:rsid w:val="002A2B03"/>
    <w:rsid w:val="002A7833"/>
    <w:rsid w:val="002A7E78"/>
    <w:rsid w:val="002B29F4"/>
    <w:rsid w:val="002B3521"/>
    <w:rsid w:val="002B796C"/>
    <w:rsid w:val="002C6597"/>
    <w:rsid w:val="002D0BDB"/>
    <w:rsid w:val="002D1994"/>
    <w:rsid w:val="002D1B1F"/>
    <w:rsid w:val="002D4779"/>
    <w:rsid w:val="002D482A"/>
    <w:rsid w:val="002E1708"/>
    <w:rsid w:val="002E19B8"/>
    <w:rsid w:val="002E1A48"/>
    <w:rsid w:val="002E3E66"/>
    <w:rsid w:val="00300132"/>
    <w:rsid w:val="00305046"/>
    <w:rsid w:val="0030552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75072"/>
    <w:rsid w:val="00377834"/>
    <w:rsid w:val="00377993"/>
    <w:rsid w:val="003871A3"/>
    <w:rsid w:val="003A21F1"/>
    <w:rsid w:val="003A49AC"/>
    <w:rsid w:val="003A6434"/>
    <w:rsid w:val="003C6B5E"/>
    <w:rsid w:val="003C71EA"/>
    <w:rsid w:val="003D4ABB"/>
    <w:rsid w:val="003E096C"/>
    <w:rsid w:val="003F2E97"/>
    <w:rsid w:val="003F57A1"/>
    <w:rsid w:val="00416710"/>
    <w:rsid w:val="00417FAD"/>
    <w:rsid w:val="00422466"/>
    <w:rsid w:val="00422970"/>
    <w:rsid w:val="004322D3"/>
    <w:rsid w:val="00432606"/>
    <w:rsid w:val="00434394"/>
    <w:rsid w:val="0043644F"/>
    <w:rsid w:val="00442103"/>
    <w:rsid w:val="00445A81"/>
    <w:rsid w:val="0044734C"/>
    <w:rsid w:val="0044751C"/>
    <w:rsid w:val="00450C36"/>
    <w:rsid w:val="00450EB6"/>
    <w:rsid w:val="00472AC0"/>
    <w:rsid w:val="0049256D"/>
    <w:rsid w:val="004A050C"/>
    <w:rsid w:val="004B0CBF"/>
    <w:rsid w:val="004B1E46"/>
    <w:rsid w:val="004B3144"/>
    <w:rsid w:val="004B490C"/>
    <w:rsid w:val="004B5C87"/>
    <w:rsid w:val="004C3CBC"/>
    <w:rsid w:val="004C6E43"/>
    <w:rsid w:val="004D43E6"/>
    <w:rsid w:val="004D6BF0"/>
    <w:rsid w:val="004D75D7"/>
    <w:rsid w:val="004E0032"/>
    <w:rsid w:val="004F035D"/>
    <w:rsid w:val="004F2473"/>
    <w:rsid w:val="004F38D9"/>
    <w:rsid w:val="00500131"/>
    <w:rsid w:val="0050016C"/>
    <w:rsid w:val="005156F9"/>
    <w:rsid w:val="00515714"/>
    <w:rsid w:val="00516C09"/>
    <w:rsid w:val="005200B5"/>
    <w:rsid w:val="005224CB"/>
    <w:rsid w:val="005266D1"/>
    <w:rsid w:val="00534209"/>
    <w:rsid w:val="00564656"/>
    <w:rsid w:val="0056720E"/>
    <w:rsid w:val="00572BDC"/>
    <w:rsid w:val="0057395F"/>
    <w:rsid w:val="00574CBE"/>
    <w:rsid w:val="00574E84"/>
    <w:rsid w:val="00577658"/>
    <w:rsid w:val="00583AA7"/>
    <w:rsid w:val="00586344"/>
    <w:rsid w:val="00595F89"/>
    <w:rsid w:val="005B0B24"/>
    <w:rsid w:val="005B442F"/>
    <w:rsid w:val="005D162E"/>
    <w:rsid w:val="005D60E0"/>
    <w:rsid w:val="005D76AA"/>
    <w:rsid w:val="005E3622"/>
    <w:rsid w:val="005E3BC7"/>
    <w:rsid w:val="005E5EB3"/>
    <w:rsid w:val="005F34D5"/>
    <w:rsid w:val="005F3B8B"/>
    <w:rsid w:val="005F7B97"/>
    <w:rsid w:val="00601315"/>
    <w:rsid w:val="00606A06"/>
    <w:rsid w:val="006156E0"/>
    <w:rsid w:val="006159D7"/>
    <w:rsid w:val="00615F81"/>
    <w:rsid w:val="00623A1B"/>
    <w:rsid w:val="00625340"/>
    <w:rsid w:val="006270E4"/>
    <w:rsid w:val="00635D6F"/>
    <w:rsid w:val="0066178B"/>
    <w:rsid w:val="00663210"/>
    <w:rsid w:val="006637E9"/>
    <w:rsid w:val="00671A9C"/>
    <w:rsid w:val="006764C6"/>
    <w:rsid w:val="00683ED3"/>
    <w:rsid w:val="006A71F8"/>
    <w:rsid w:val="006B0947"/>
    <w:rsid w:val="006B3AFC"/>
    <w:rsid w:val="006C2471"/>
    <w:rsid w:val="006C6432"/>
    <w:rsid w:val="006D07DB"/>
    <w:rsid w:val="006D1A51"/>
    <w:rsid w:val="006D587D"/>
    <w:rsid w:val="006E35D4"/>
    <w:rsid w:val="006F36E9"/>
    <w:rsid w:val="006F38C6"/>
    <w:rsid w:val="00710128"/>
    <w:rsid w:val="00712A7B"/>
    <w:rsid w:val="007171F9"/>
    <w:rsid w:val="00721F33"/>
    <w:rsid w:val="00723408"/>
    <w:rsid w:val="00734E85"/>
    <w:rsid w:val="00740E5F"/>
    <w:rsid w:val="007421CF"/>
    <w:rsid w:val="00742D45"/>
    <w:rsid w:val="007534E5"/>
    <w:rsid w:val="00754003"/>
    <w:rsid w:val="0075538D"/>
    <w:rsid w:val="0076166C"/>
    <w:rsid w:val="007705D7"/>
    <w:rsid w:val="00772503"/>
    <w:rsid w:val="007728B7"/>
    <w:rsid w:val="00775395"/>
    <w:rsid w:val="00777C15"/>
    <w:rsid w:val="00781E7E"/>
    <w:rsid w:val="007834FB"/>
    <w:rsid w:val="00795DC8"/>
    <w:rsid w:val="00796420"/>
    <w:rsid w:val="007974A9"/>
    <w:rsid w:val="0079750A"/>
    <w:rsid w:val="007978E1"/>
    <w:rsid w:val="007A3B44"/>
    <w:rsid w:val="007B3A1C"/>
    <w:rsid w:val="007B4256"/>
    <w:rsid w:val="007C281D"/>
    <w:rsid w:val="007C359A"/>
    <w:rsid w:val="007C7CA8"/>
    <w:rsid w:val="007E2206"/>
    <w:rsid w:val="007E4C06"/>
    <w:rsid w:val="007E58CC"/>
    <w:rsid w:val="007E7601"/>
    <w:rsid w:val="007F3C29"/>
    <w:rsid w:val="007F7F5E"/>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64D9B"/>
    <w:rsid w:val="0087261B"/>
    <w:rsid w:val="008744E6"/>
    <w:rsid w:val="00876E54"/>
    <w:rsid w:val="00876F0C"/>
    <w:rsid w:val="00883915"/>
    <w:rsid w:val="00887DFC"/>
    <w:rsid w:val="00892442"/>
    <w:rsid w:val="0089249F"/>
    <w:rsid w:val="0089588C"/>
    <w:rsid w:val="00895C70"/>
    <w:rsid w:val="00896E5B"/>
    <w:rsid w:val="008A183C"/>
    <w:rsid w:val="008A58C9"/>
    <w:rsid w:val="008B0E36"/>
    <w:rsid w:val="008B3712"/>
    <w:rsid w:val="008B49AF"/>
    <w:rsid w:val="008B580C"/>
    <w:rsid w:val="008C29E9"/>
    <w:rsid w:val="008D55E7"/>
    <w:rsid w:val="008D6FBA"/>
    <w:rsid w:val="008E48CE"/>
    <w:rsid w:val="008E492D"/>
    <w:rsid w:val="008E7AF3"/>
    <w:rsid w:val="008F2F2B"/>
    <w:rsid w:val="008F3B59"/>
    <w:rsid w:val="008F5E82"/>
    <w:rsid w:val="008F600D"/>
    <w:rsid w:val="008F66D8"/>
    <w:rsid w:val="00900A51"/>
    <w:rsid w:val="00900B45"/>
    <w:rsid w:val="00906F7E"/>
    <w:rsid w:val="009131E8"/>
    <w:rsid w:val="00923720"/>
    <w:rsid w:val="00925BCB"/>
    <w:rsid w:val="0092697B"/>
    <w:rsid w:val="0093327B"/>
    <w:rsid w:val="0093448C"/>
    <w:rsid w:val="009359E9"/>
    <w:rsid w:val="0094528A"/>
    <w:rsid w:val="00947693"/>
    <w:rsid w:val="00947EB6"/>
    <w:rsid w:val="00954EF2"/>
    <w:rsid w:val="00955403"/>
    <w:rsid w:val="00964F2A"/>
    <w:rsid w:val="009657CF"/>
    <w:rsid w:val="00967058"/>
    <w:rsid w:val="00970591"/>
    <w:rsid w:val="0097126C"/>
    <w:rsid w:val="00972D27"/>
    <w:rsid w:val="00973320"/>
    <w:rsid w:val="00973F32"/>
    <w:rsid w:val="009742CF"/>
    <w:rsid w:val="00977854"/>
    <w:rsid w:val="0098060B"/>
    <w:rsid w:val="00980647"/>
    <w:rsid w:val="00980E3E"/>
    <w:rsid w:val="0098331C"/>
    <w:rsid w:val="00984CBB"/>
    <w:rsid w:val="00985AEB"/>
    <w:rsid w:val="009865F3"/>
    <w:rsid w:val="00986D87"/>
    <w:rsid w:val="009879C1"/>
    <w:rsid w:val="009922EE"/>
    <w:rsid w:val="00994DAF"/>
    <w:rsid w:val="009A6183"/>
    <w:rsid w:val="009A7795"/>
    <w:rsid w:val="009B2136"/>
    <w:rsid w:val="009C3277"/>
    <w:rsid w:val="009C7B41"/>
    <w:rsid w:val="009D1922"/>
    <w:rsid w:val="009E0A62"/>
    <w:rsid w:val="009E13FA"/>
    <w:rsid w:val="009E1780"/>
    <w:rsid w:val="009E3590"/>
    <w:rsid w:val="009E40EE"/>
    <w:rsid w:val="009E539C"/>
    <w:rsid w:val="009E683A"/>
    <w:rsid w:val="009F0CA3"/>
    <w:rsid w:val="009F5E49"/>
    <w:rsid w:val="00A02A84"/>
    <w:rsid w:val="00A05C5F"/>
    <w:rsid w:val="00A1531F"/>
    <w:rsid w:val="00A15D2F"/>
    <w:rsid w:val="00A237D3"/>
    <w:rsid w:val="00A241B2"/>
    <w:rsid w:val="00A30C68"/>
    <w:rsid w:val="00A36216"/>
    <w:rsid w:val="00A46B00"/>
    <w:rsid w:val="00A47D15"/>
    <w:rsid w:val="00A513F9"/>
    <w:rsid w:val="00A552F5"/>
    <w:rsid w:val="00A65ACB"/>
    <w:rsid w:val="00A65F22"/>
    <w:rsid w:val="00A65F2F"/>
    <w:rsid w:val="00A718C4"/>
    <w:rsid w:val="00A77751"/>
    <w:rsid w:val="00A93474"/>
    <w:rsid w:val="00AA0CEA"/>
    <w:rsid w:val="00AA480E"/>
    <w:rsid w:val="00AB7FD1"/>
    <w:rsid w:val="00AC3E4C"/>
    <w:rsid w:val="00AC5816"/>
    <w:rsid w:val="00AD1667"/>
    <w:rsid w:val="00AD3149"/>
    <w:rsid w:val="00AD429E"/>
    <w:rsid w:val="00AD478B"/>
    <w:rsid w:val="00AD49B4"/>
    <w:rsid w:val="00AE0481"/>
    <w:rsid w:val="00AE4BC8"/>
    <w:rsid w:val="00AE5F66"/>
    <w:rsid w:val="00AF4C90"/>
    <w:rsid w:val="00B0053D"/>
    <w:rsid w:val="00B05442"/>
    <w:rsid w:val="00B06517"/>
    <w:rsid w:val="00B143D7"/>
    <w:rsid w:val="00B15D1B"/>
    <w:rsid w:val="00B206BB"/>
    <w:rsid w:val="00B217A4"/>
    <w:rsid w:val="00B3150C"/>
    <w:rsid w:val="00B33D70"/>
    <w:rsid w:val="00B600B7"/>
    <w:rsid w:val="00B66F74"/>
    <w:rsid w:val="00B7148E"/>
    <w:rsid w:val="00B77555"/>
    <w:rsid w:val="00B8041A"/>
    <w:rsid w:val="00B81E67"/>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105A0"/>
    <w:rsid w:val="00C15053"/>
    <w:rsid w:val="00C17046"/>
    <w:rsid w:val="00C22074"/>
    <w:rsid w:val="00C304C6"/>
    <w:rsid w:val="00C35373"/>
    <w:rsid w:val="00C370F6"/>
    <w:rsid w:val="00C37707"/>
    <w:rsid w:val="00C464E9"/>
    <w:rsid w:val="00C47319"/>
    <w:rsid w:val="00C748B7"/>
    <w:rsid w:val="00C85B97"/>
    <w:rsid w:val="00C86C3F"/>
    <w:rsid w:val="00C90823"/>
    <w:rsid w:val="00C933D3"/>
    <w:rsid w:val="00C955FA"/>
    <w:rsid w:val="00C95610"/>
    <w:rsid w:val="00C97C30"/>
    <w:rsid w:val="00CA6EBB"/>
    <w:rsid w:val="00CB0575"/>
    <w:rsid w:val="00CB1E46"/>
    <w:rsid w:val="00CB6619"/>
    <w:rsid w:val="00CC2F17"/>
    <w:rsid w:val="00CC4B08"/>
    <w:rsid w:val="00CC5060"/>
    <w:rsid w:val="00CC6877"/>
    <w:rsid w:val="00CE11A9"/>
    <w:rsid w:val="00CF2A13"/>
    <w:rsid w:val="00CF51E0"/>
    <w:rsid w:val="00CF7B41"/>
    <w:rsid w:val="00D04830"/>
    <w:rsid w:val="00D06931"/>
    <w:rsid w:val="00D13F26"/>
    <w:rsid w:val="00D1473F"/>
    <w:rsid w:val="00D17ED3"/>
    <w:rsid w:val="00D21168"/>
    <w:rsid w:val="00D21693"/>
    <w:rsid w:val="00D244D0"/>
    <w:rsid w:val="00D31CC6"/>
    <w:rsid w:val="00D3288E"/>
    <w:rsid w:val="00D40163"/>
    <w:rsid w:val="00D41DF2"/>
    <w:rsid w:val="00D50E2C"/>
    <w:rsid w:val="00D517D6"/>
    <w:rsid w:val="00D5384B"/>
    <w:rsid w:val="00D57E33"/>
    <w:rsid w:val="00D63D2A"/>
    <w:rsid w:val="00D64C24"/>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3F4C"/>
    <w:rsid w:val="00E05EB6"/>
    <w:rsid w:val="00E1379B"/>
    <w:rsid w:val="00E14B5A"/>
    <w:rsid w:val="00E234A1"/>
    <w:rsid w:val="00E248F0"/>
    <w:rsid w:val="00E257AB"/>
    <w:rsid w:val="00E44CBE"/>
    <w:rsid w:val="00E46CCB"/>
    <w:rsid w:val="00E50188"/>
    <w:rsid w:val="00E55116"/>
    <w:rsid w:val="00E61C82"/>
    <w:rsid w:val="00E634E4"/>
    <w:rsid w:val="00E66846"/>
    <w:rsid w:val="00E70604"/>
    <w:rsid w:val="00E71EEF"/>
    <w:rsid w:val="00E81586"/>
    <w:rsid w:val="00E824E7"/>
    <w:rsid w:val="00E943EE"/>
    <w:rsid w:val="00E95E82"/>
    <w:rsid w:val="00EA1EA7"/>
    <w:rsid w:val="00EA51F0"/>
    <w:rsid w:val="00EA7292"/>
    <w:rsid w:val="00EA7CB6"/>
    <w:rsid w:val="00EB0A46"/>
    <w:rsid w:val="00EB2884"/>
    <w:rsid w:val="00EB4D01"/>
    <w:rsid w:val="00EB5EFA"/>
    <w:rsid w:val="00EC3A76"/>
    <w:rsid w:val="00EE04F7"/>
    <w:rsid w:val="00EF2174"/>
    <w:rsid w:val="00EF51B7"/>
    <w:rsid w:val="00EF545D"/>
    <w:rsid w:val="00F000F9"/>
    <w:rsid w:val="00F057DF"/>
    <w:rsid w:val="00F07735"/>
    <w:rsid w:val="00F07A22"/>
    <w:rsid w:val="00F24461"/>
    <w:rsid w:val="00F27313"/>
    <w:rsid w:val="00F33BB0"/>
    <w:rsid w:val="00F3709B"/>
    <w:rsid w:val="00F43D05"/>
    <w:rsid w:val="00F5292F"/>
    <w:rsid w:val="00F60578"/>
    <w:rsid w:val="00F605A9"/>
    <w:rsid w:val="00F62D03"/>
    <w:rsid w:val="00F6668C"/>
    <w:rsid w:val="00F670EC"/>
    <w:rsid w:val="00F74554"/>
    <w:rsid w:val="00F745AB"/>
    <w:rsid w:val="00F74CC4"/>
    <w:rsid w:val="00F77711"/>
    <w:rsid w:val="00F87614"/>
    <w:rsid w:val="00F907B6"/>
    <w:rsid w:val="00F92D1A"/>
    <w:rsid w:val="00F94629"/>
    <w:rsid w:val="00F965AC"/>
    <w:rsid w:val="00F9781A"/>
    <w:rsid w:val="00FA0999"/>
    <w:rsid w:val="00FA22E1"/>
    <w:rsid w:val="00FA6FFB"/>
    <w:rsid w:val="00FB1E89"/>
    <w:rsid w:val="00FB2B5B"/>
    <w:rsid w:val="00FC3A2A"/>
    <w:rsid w:val="00FC73FF"/>
    <w:rsid w:val="00FD2E95"/>
    <w:rsid w:val="00FD63A4"/>
    <w:rsid w:val="00FD6FBD"/>
    <w:rsid w:val="00FE6E21"/>
    <w:rsid w:val="00FF1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522D28"/>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Heading1">
    <w:name w:val="heading 1"/>
    <w:basedOn w:val="Normal"/>
    <w:next w:val="Normal"/>
    <w:link w:val="Heading1Char"/>
    <w:uiPriority w:val="9"/>
    <w:qFormat/>
    <w:rsid w:val="0083537E"/>
    <w:pPr>
      <w:keepNext/>
      <w:keepLines/>
      <w:spacing w:before="360" w:after="240"/>
      <w:ind w:left="284" w:hanging="284"/>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851A7B"/>
    <w:pPr>
      <w:keepNext/>
      <w:keepLines/>
      <w:numPr>
        <w:ilvl w:val="1"/>
        <w:numId w:val="15"/>
      </w:numPr>
      <w:spacing w:before="480" w:after="4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714"/>
    <w:pPr>
      <w:keepNext/>
      <w:keepLines/>
      <w:numPr>
        <w:ilvl w:val="2"/>
        <w:numId w:val="15"/>
      </w:numPr>
      <w:spacing w:before="600" w:after="6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4BB"/>
    <w:pPr>
      <w:keepNext/>
      <w:keepLines/>
      <w:numPr>
        <w:ilvl w:val="3"/>
        <w:numId w:val="15"/>
      </w:numPr>
      <w:spacing w:before="600" w:after="6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31"/>
    <w:pPr>
      <w:keepNext/>
      <w:keepLines/>
      <w:numPr>
        <w:ilvl w:val="4"/>
        <w:numId w:val="15"/>
      </w:numPr>
      <w:spacing w:before="600" w:after="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AF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AF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AF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97AF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D8"/>
    <w:rPr>
      <w:rFonts w:ascii="Tahoma" w:hAnsi="Tahoma" w:cs="Tahoma"/>
      <w:sz w:val="16"/>
      <w:szCs w:val="16"/>
    </w:rPr>
  </w:style>
  <w:style w:type="character" w:customStyle="1" w:styleId="BalloonTextChar">
    <w:name w:val="Balloon Text Char"/>
    <w:basedOn w:val="DefaultParagraphFont"/>
    <w:link w:val="BalloonText"/>
    <w:uiPriority w:val="99"/>
    <w:semiHidden/>
    <w:rsid w:val="001827D8"/>
    <w:rPr>
      <w:rFonts w:ascii="Tahoma" w:hAnsi="Tahoma" w:cs="Tahoma"/>
      <w:noProof/>
      <w:sz w:val="16"/>
      <w:szCs w:val="16"/>
    </w:rPr>
  </w:style>
  <w:style w:type="paragraph" w:styleId="Caption">
    <w:name w:val="caption"/>
    <w:basedOn w:val="Normal"/>
    <w:next w:val="Normal"/>
    <w:uiPriority w:val="35"/>
    <w:unhideWhenUsed/>
    <w:qFormat/>
    <w:rsid w:val="00BB55BD"/>
    <w:pPr>
      <w:jc w:val="center"/>
    </w:pPr>
    <w:rPr>
      <w:b/>
      <w:bCs/>
      <w:sz w:val="20"/>
      <w:szCs w:val="18"/>
    </w:rPr>
  </w:style>
  <w:style w:type="paragraph" w:styleId="Header">
    <w:name w:val="header"/>
    <w:basedOn w:val="Normal"/>
    <w:link w:val="HeaderChar"/>
    <w:uiPriority w:val="99"/>
    <w:unhideWhenUsed/>
    <w:qFormat/>
    <w:rsid w:val="00947EB6"/>
    <w:pPr>
      <w:tabs>
        <w:tab w:val="center" w:pos="4536"/>
        <w:tab w:val="right" w:pos="9072"/>
      </w:tabs>
      <w:jc w:val="left"/>
    </w:pPr>
    <w:rPr>
      <w:i/>
      <w:sz w:val="18"/>
      <w:lang w:val="en-GB"/>
    </w:rPr>
  </w:style>
  <w:style w:type="character" w:customStyle="1" w:styleId="HeaderChar">
    <w:name w:val="Header Char"/>
    <w:basedOn w:val="DefaultParagraphFont"/>
    <w:link w:val="Header"/>
    <w:uiPriority w:val="99"/>
    <w:rsid w:val="00947EB6"/>
    <w:rPr>
      <w:rFonts w:ascii="Times New Roman" w:eastAsia="Times New Roman" w:hAnsi="Times New Roman" w:cs="Times New Roman"/>
      <w:i/>
      <w:sz w:val="18"/>
      <w:szCs w:val="24"/>
      <w:lang w:val="en-GB" w:eastAsia="bg-BG"/>
    </w:rPr>
  </w:style>
  <w:style w:type="paragraph" w:styleId="Footer">
    <w:name w:val="footer"/>
    <w:basedOn w:val="Normal"/>
    <w:link w:val="FooterChar"/>
    <w:uiPriority w:val="99"/>
    <w:unhideWhenUsed/>
    <w:rsid w:val="00723408"/>
    <w:pPr>
      <w:tabs>
        <w:tab w:val="center" w:pos="4536"/>
        <w:tab w:val="right" w:pos="9072"/>
      </w:tabs>
    </w:pPr>
  </w:style>
  <w:style w:type="character" w:customStyle="1" w:styleId="FooterChar">
    <w:name w:val="Footer Char"/>
    <w:basedOn w:val="DefaultParagraphFont"/>
    <w:link w:val="Footer"/>
    <w:uiPriority w:val="99"/>
    <w:rsid w:val="00723408"/>
    <w:rPr>
      <w:noProof/>
    </w:rPr>
  </w:style>
  <w:style w:type="paragraph" w:customStyle="1" w:styleId="Od">
    <w:name w:val="Od"/>
    <w:basedOn w:val="Normal"/>
    <w:rsid w:val="006B3AFC"/>
    <w:pPr>
      <w:tabs>
        <w:tab w:val="left" w:pos="1247"/>
      </w:tabs>
      <w:spacing w:line="260" w:lineRule="exact"/>
    </w:pPr>
    <w:rPr>
      <w:rFonts w:eastAsia="Cambria"/>
      <w:color w:val="7F7F7F"/>
      <w:sz w:val="26"/>
    </w:rPr>
  </w:style>
  <w:style w:type="table" w:styleId="TableGrid">
    <w:name w:val="Table Grid"/>
    <w:basedOn w:val="TableNormal"/>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37E"/>
    <w:rPr>
      <w:rFonts w:ascii="Times New Roman" w:eastAsiaTheme="majorEastAsia" w:hAnsi="Times New Roman" w:cstheme="majorBidi"/>
      <w:b/>
      <w:bCs/>
      <w:szCs w:val="28"/>
      <w:lang w:val="en-GB" w:eastAsia="bg-BG"/>
    </w:rPr>
  </w:style>
  <w:style w:type="character" w:customStyle="1" w:styleId="Heading2Char">
    <w:name w:val="Heading 2 Char"/>
    <w:basedOn w:val="DefaultParagraphFont"/>
    <w:link w:val="Heading2"/>
    <w:uiPriority w:val="9"/>
    <w:rsid w:val="00851A7B"/>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51571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8424BB"/>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DD7C31"/>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semiHidden/>
    <w:rsid w:val="00097AF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097AFC"/>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TOCHeading">
    <w:name w:val="TOC Heading"/>
    <w:basedOn w:val="Heading1"/>
    <w:next w:val="Normal"/>
    <w:uiPriority w:val="39"/>
    <w:semiHidden/>
    <w:unhideWhenUsed/>
    <w:qFormat/>
    <w:rsid w:val="00595F89"/>
    <w:pPr>
      <w:spacing w:after="0"/>
      <w:ind w:left="0" w:firstLine="0"/>
      <w:outlineLvl w:val="9"/>
    </w:pPr>
    <w:rPr>
      <w:lang w:val="en-US" w:eastAsia="ja-JP"/>
    </w:rPr>
  </w:style>
  <w:style w:type="paragraph" w:styleId="TOC1">
    <w:name w:val="toc 1"/>
    <w:basedOn w:val="Normal"/>
    <w:next w:val="Normal"/>
    <w:autoRedefine/>
    <w:uiPriority w:val="39"/>
    <w:unhideWhenUsed/>
    <w:rsid w:val="00595F89"/>
    <w:pPr>
      <w:spacing w:after="100"/>
    </w:pPr>
  </w:style>
  <w:style w:type="paragraph" w:styleId="TOC2">
    <w:name w:val="toc 2"/>
    <w:basedOn w:val="Normal"/>
    <w:next w:val="Normal"/>
    <w:autoRedefine/>
    <w:uiPriority w:val="39"/>
    <w:unhideWhenUsed/>
    <w:rsid w:val="00595F89"/>
    <w:pPr>
      <w:spacing w:after="100"/>
      <w:ind w:left="220"/>
    </w:pPr>
  </w:style>
  <w:style w:type="paragraph" w:styleId="TOC3">
    <w:name w:val="toc 3"/>
    <w:basedOn w:val="Normal"/>
    <w:next w:val="Normal"/>
    <w:autoRedefine/>
    <w:uiPriority w:val="39"/>
    <w:unhideWhenUsed/>
    <w:rsid w:val="00595F89"/>
    <w:pPr>
      <w:spacing w:after="100"/>
      <w:ind w:left="440"/>
    </w:pPr>
  </w:style>
  <w:style w:type="character" w:styleId="Hyperlink">
    <w:name w:val="Hyperlink"/>
    <w:basedOn w:val="DefaultParagraphFont"/>
    <w:uiPriority w:val="99"/>
    <w:unhideWhenUsed/>
    <w:rsid w:val="00595F89"/>
    <w:rPr>
      <w:color w:val="0000FF" w:themeColor="hyperlink"/>
      <w:u w:val="single"/>
    </w:rPr>
  </w:style>
  <w:style w:type="paragraph" w:styleId="ListParagraph">
    <w:name w:val="List Paragraph"/>
    <w:basedOn w:val="Normal"/>
    <w:uiPriority w:val="34"/>
    <w:qFormat/>
    <w:rsid w:val="00712A7B"/>
    <w:pPr>
      <w:ind w:left="720"/>
      <w:contextualSpacing/>
    </w:pPr>
  </w:style>
  <w:style w:type="paragraph" w:styleId="NoSpacing">
    <w:name w:val="No Spacing"/>
    <w:uiPriority w:val="1"/>
    <w:qFormat/>
    <w:rsid w:val="00082265"/>
    <w:pPr>
      <w:spacing w:after="0" w:line="240" w:lineRule="auto"/>
      <w:jc w:val="both"/>
    </w:pPr>
    <w:rPr>
      <w:noProof/>
    </w:rPr>
  </w:style>
  <w:style w:type="paragraph" w:styleId="BodyText">
    <w:name w:val="Body Text"/>
    <w:aliases w:val=" uvlaka 3"/>
    <w:basedOn w:val="Normal"/>
    <w:link w:val="BodyTextChar"/>
    <w:rsid w:val="005266D1"/>
    <w:rPr>
      <w:rFonts w:ascii="Arial" w:hAnsi="Arial"/>
      <w:sz w:val="24"/>
      <w:szCs w:val="20"/>
    </w:rPr>
  </w:style>
  <w:style w:type="character" w:customStyle="1" w:styleId="BodyTextChar">
    <w:name w:val="Body Text Char"/>
    <w:aliases w:val=" uvlaka 3 Char"/>
    <w:basedOn w:val="DefaultParagraphFont"/>
    <w:link w:val="BodyText"/>
    <w:rsid w:val="005266D1"/>
    <w:rPr>
      <w:rFonts w:ascii="Arial" w:eastAsia="Times New Roman" w:hAnsi="Arial" w:cs="Times New Roman"/>
      <w:sz w:val="24"/>
      <w:szCs w:val="20"/>
    </w:rPr>
  </w:style>
  <w:style w:type="character" w:styleId="PlaceholderText">
    <w:name w:val="Placeholder Text"/>
    <w:basedOn w:val="DefaultParagraphFont"/>
    <w:uiPriority w:val="99"/>
    <w:semiHidden/>
    <w:rsid w:val="008A58C9"/>
    <w:rPr>
      <w:color w:val="808080"/>
    </w:rPr>
  </w:style>
  <w:style w:type="paragraph" w:customStyle="1" w:styleId="02Author">
    <w:name w:val="02. Author"/>
    <w:basedOn w:val="Normal"/>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
    <w:next w:val="Normal"/>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
    <w:autoRedefine/>
    <w:uiPriority w:val="99"/>
    <w:rsid w:val="00F057DF"/>
    <w:pPr>
      <w:tabs>
        <w:tab w:val="left" w:pos="357"/>
      </w:tabs>
      <w:spacing w:line="240" w:lineRule="exact"/>
      <w:ind w:left="360" w:hanging="360"/>
    </w:pPr>
    <w:rPr>
      <w:rFonts w:cs="Book Antiqua"/>
      <w:sz w:val="18"/>
      <w:szCs w:val="18"/>
      <w:lang w:val="en-US"/>
    </w:rPr>
  </w:style>
  <w:style w:type="paragraph" w:styleId="Title">
    <w:name w:val="Title"/>
    <w:basedOn w:val="Normal"/>
    <w:next w:val="Normal"/>
    <w:link w:val="TitleChar"/>
    <w:uiPriority w:val="10"/>
    <w:qFormat/>
    <w:rsid w:val="0083537E"/>
    <w:pPr>
      <w:spacing w:before="240" w:after="360"/>
      <w:jc w:val="center"/>
    </w:pPr>
    <w:rPr>
      <w:b/>
      <w:sz w:val="24"/>
      <w:lang w:val="en-GB"/>
    </w:rPr>
  </w:style>
  <w:style w:type="character" w:customStyle="1" w:styleId="TitleChar">
    <w:name w:val="Title Char"/>
    <w:basedOn w:val="DefaultParagraphFont"/>
    <w:link w:val="Title"/>
    <w:uiPriority w:val="10"/>
    <w:rsid w:val="0083537E"/>
    <w:rPr>
      <w:rFonts w:ascii="Times New Roman" w:eastAsia="Times New Roman" w:hAnsi="Times New Roman" w:cs="Times New Roman"/>
      <w:b/>
      <w:sz w:val="24"/>
      <w:szCs w:val="24"/>
      <w:lang w:val="en-GB" w:eastAsia="bg-BG"/>
    </w:rPr>
  </w:style>
  <w:style w:type="paragraph" w:styleId="Subtitle">
    <w:name w:val="Subtitle"/>
    <w:basedOn w:val="02Author"/>
    <w:next w:val="Normal"/>
    <w:link w:val="SubtitleChar"/>
    <w:uiPriority w:val="11"/>
    <w:qFormat/>
    <w:rsid w:val="0083537E"/>
    <w:rPr>
      <w:sz w:val="20"/>
      <w:szCs w:val="20"/>
      <w:lang w:val="en-GB"/>
    </w:rPr>
  </w:style>
  <w:style w:type="character" w:customStyle="1" w:styleId="SubtitleChar">
    <w:name w:val="Subtitle Char"/>
    <w:basedOn w:val="DefaultParagraphFont"/>
    <w:link w:val="Subtitle"/>
    <w:uiPriority w:val="11"/>
    <w:rsid w:val="0083537E"/>
    <w:rPr>
      <w:rFonts w:ascii="Times New Roman" w:eastAsia="Times New Roman" w:hAnsi="Times New Roman" w:cs="Book Antiqua"/>
      <w:caps/>
      <w:sz w:val="20"/>
      <w:szCs w:val="20"/>
      <w:lang w:val="en-GB" w:eastAsia="bg-BG"/>
    </w:rPr>
  </w:style>
  <w:style w:type="character" w:styleId="SubtleEmphasis">
    <w:name w:val="Subtle Emphasis"/>
    <w:uiPriority w:val="19"/>
    <w:qFormat/>
    <w:rsid w:val="0083537E"/>
    <w:rPr>
      <w:rFonts w:cs="Book Antiqua"/>
      <w:i/>
      <w:iCs/>
      <w:sz w:val="18"/>
      <w:szCs w:val="16"/>
      <w:lang w:val="en-US"/>
    </w:rPr>
  </w:style>
  <w:style w:type="character" w:styleId="Emphasis">
    <w:name w:val="Emphasis"/>
    <w:basedOn w:val="SubtleEmphasis"/>
    <w:uiPriority w:val="20"/>
    <w:qFormat/>
    <w:rsid w:val="0083537E"/>
    <w:rPr>
      <w:rFonts w:cs="Book Antiqua"/>
      <w:i/>
      <w:iCs/>
      <w:sz w:val="18"/>
      <w:szCs w:val="16"/>
      <w:lang w:val="en-US"/>
    </w:rPr>
  </w:style>
  <w:style w:type="table" w:customStyle="1" w:styleId="MDPI41threelinetable">
    <w:name w:val="MDPI_4.1_three_line_table"/>
    <w:basedOn w:val="TableNormal"/>
    <w:uiPriority w:val="99"/>
    <w:rsid w:val="000767AC"/>
    <w:pPr>
      <w:adjustRightInd w:val="0"/>
      <w:snapToGrid w:val="0"/>
      <w:spacing w:after="0" w:line="240" w:lineRule="auto"/>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References">
    <w:name w:val="References"/>
    <w:basedOn w:val="Normal"/>
    <w:rsid w:val="000767AC"/>
    <w:pPr>
      <w:widowControl/>
      <w:suppressLineNumbers/>
      <w:overflowPunct w:val="0"/>
      <w:spacing w:line="200" w:lineRule="exact"/>
      <w:ind w:left="360" w:hanging="360"/>
      <w:textAlignment w:val="baseline"/>
    </w:pPr>
    <w:rPr>
      <w:sz w:val="18"/>
      <w:szCs w:val="18"/>
      <w:lang w:val="en-GB" w:eastAsia="en-US"/>
    </w:rPr>
  </w:style>
  <w:style w:type="character" w:styleId="UnresolvedMention">
    <w:name w:val="Unresolved Mention"/>
    <w:basedOn w:val="DefaultParagraphFont"/>
    <w:uiPriority w:val="99"/>
    <w:semiHidden/>
    <w:unhideWhenUsed/>
    <w:rsid w:val="003871A3"/>
    <w:rPr>
      <w:color w:val="605E5C"/>
      <w:shd w:val="clear" w:color="auto" w:fill="E1DFDD"/>
    </w:rPr>
  </w:style>
  <w:style w:type="paragraph" w:customStyle="1" w:styleId="Default">
    <w:name w:val="Default"/>
    <w:rsid w:val="00C17046"/>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35537495">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1958560465">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nolok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F09D-4A05-46C1-8C56-32CB076C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User</cp:lastModifiedBy>
  <cp:revision>8</cp:revision>
  <cp:lastPrinted>2023-01-30T10:38:00Z</cp:lastPrinted>
  <dcterms:created xsi:type="dcterms:W3CDTF">2024-03-09T19:08:00Z</dcterms:created>
  <dcterms:modified xsi:type="dcterms:W3CDTF">2024-03-09T19:50:00Z</dcterms:modified>
</cp:coreProperties>
</file>